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101 颅脑创伤及创伤性颅内出血专病模板库</w:t>
      </w:r>
    </w:p>
    <w:p>
      <w:r>
        <w:t>模块编号 101    版本 V1.0</w:t>
      </w:r>
    </w:p>
    <w:p>
      <w:r>
        <w:t>所属层级 第三级 专病知识层</w:t>
      </w:r>
    </w:p>
    <w:p>
      <w:r>
        <w:t>创建及公开来源核验日期 2026年10月26日</w:t>
      </w:r>
    </w:p>
    <w:p>
      <w:r>
        <w:t>功能定位 专病证据分析与连续文书生成</w:t>
      </w:r>
    </w:p>
    <w:p>
      <w:r>
        <w:t>适用范围 22类颅脑创伤、创伤性出血及术后问题</w:t>
      </w:r>
    </w:p>
    <w:p>
      <w:r>
        <w:t>自动调用条件 11识别该病种、相关手术或特异并发症；儿童另联108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专病使用范围与最高约束</w:t>
        </w:r>
      </w:hyperlink>
      <w:r>
        <w:tab/>
      </w:r>
      <w:fldSimple w:instr="PAGEREF sec_0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3">
        <w:r>
          <w:t>病种覆盖与差异化调用索引</w:t>
        </w:r>
      </w:hyperlink>
      <w:r>
        <w:tab/>
      </w:r>
      <w:fldSimple w:instr="PAGEREF sec_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">
        <w:r>
          <w:t>轻型颅脑损伤</w:t>
        </w:r>
      </w:hyperlink>
      <w:r>
        <w:tab/>
      </w:r>
      <w:fldSimple w:instr="PAGEREF sec_4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">
        <w:r>
          <w:t>中型颅脑损伤</w:t>
        </w:r>
      </w:hyperlink>
      <w:r>
        <w:tab/>
      </w:r>
      <w:fldSimple w:instr="PAGEREF sec_6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">
        <w:r>
          <w:t>重型颅脑损伤</w:t>
        </w:r>
      </w:hyperlink>
      <w:r>
        <w:tab/>
      </w:r>
      <w:fldSimple w:instr="PAGEREF sec_8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">
        <w:r>
          <w:t>颅骨骨折</w:t>
        </w:r>
      </w:hyperlink>
      <w:r>
        <w:tab/>
      </w:r>
      <w:fldSimple w:instr="PAGEREF sec_10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2">
        <w:r>
          <w:t>颅底骨折</w:t>
        </w:r>
      </w:hyperlink>
      <w:r>
        <w:tab/>
      </w:r>
      <w:fldSimple w:instr="PAGEREF sec_12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4">
        <w:r>
          <w:t>硬膜外血肿</w:t>
        </w:r>
      </w:hyperlink>
      <w:r>
        <w:tab/>
      </w:r>
      <w:fldSimple w:instr="PAGEREF sec_14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6">
        <w:r>
          <w:t>急性硬膜下血肿</w:t>
        </w:r>
      </w:hyperlink>
      <w:r>
        <w:tab/>
      </w:r>
      <w:fldSimple w:instr="PAGEREF sec_16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8">
        <w:r>
          <w:t>慢性硬膜下血肿</w:t>
        </w:r>
      </w:hyperlink>
      <w:r>
        <w:tab/>
      </w:r>
      <w:fldSimple w:instr="PAGEREF sec_18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0">
        <w:r>
          <w:t>脑挫裂伤</w:t>
        </w:r>
      </w:hyperlink>
      <w:r>
        <w:tab/>
      </w:r>
      <w:fldSimple w:instr="PAGEREF sec_20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2">
        <w:r>
          <w:t>创伤性脑内血肿</w:t>
        </w:r>
      </w:hyperlink>
      <w:r>
        <w:tab/>
      </w:r>
      <w:fldSimple w:instr="PAGEREF sec_22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4">
        <w:r>
          <w:t>创伤性蛛网膜下腔出血</w:t>
        </w:r>
      </w:hyperlink>
      <w:r>
        <w:tab/>
      </w:r>
      <w:fldSimple w:instr="PAGEREF sec_24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6">
        <w:r>
          <w:t>弥漫性轴索损伤</w:t>
        </w:r>
      </w:hyperlink>
      <w:r>
        <w:tab/>
      </w:r>
      <w:fldSimple w:instr="PAGEREF sec_26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8">
        <w:r>
          <w:t>脑干损伤</w:t>
        </w:r>
      </w:hyperlink>
      <w:r>
        <w:tab/>
      </w:r>
      <w:fldSimple w:instr="PAGEREF sec_28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0">
        <w:r>
          <w:t>开放性颅脑损伤</w:t>
        </w:r>
      </w:hyperlink>
      <w:r>
        <w:tab/>
      </w:r>
      <w:fldSimple w:instr="PAGEREF sec_30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2">
        <w:r>
          <w:t>穿透性颅脑损伤</w:t>
        </w:r>
      </w:hyperlink>
      <w:r>
        <w:tab/>
      </w:r>
      <w:fldSimple w:instr="PAGEREF sec_32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4">
        <w:r>
          <w:t>创伤合并脑水肿</w:t>
        </w:r>
      </w:hyperlink>
      <w:r>
        <w:tab/>
      </w:r>
      <w:fldSimple w:instr="PAGEREF sec_34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6">
        <w:r>
          <w:t>创伤合并颅内压升高</w:t>
        </w:r>
      </w:hyperlink>
      <w:r>
        <w:tab/>
      </w:r>
      <w:fldSimple w:instr="PAGEREF sec_36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8">
        <w:r>
          <w:t>创伤相关脑疝风险</w:t>
        </w:r>
      </w:hyperlink>
      <w:r>
        <w:tab/>
      </w:r>
      <w:fldSimple w:instr="PAGEREF sec_38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0">
        <w:r>
          <w:t>去骨瓣减压术后</w:t>
        </w:r>
      </w:hyperlink>
      <w:r>
        <w:tab/>
      </w:r>
      <w:fldSimple w:instr="PAGEREF sec_40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2">
        <w:r>
          <w:t>创伤后功能障碍</w:t>
        </w:r>
      </w:hyperlink>
      <w:r>
        <w:tab/>
      </w:r>
      <w:fldSimple w:instr="PAGEREF sec_42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4">
        <w:r>
          <w:t>创伤后癫痫相关问题</w:t>
        </w:r>
      </w:hyperlink>
      <w:r>
        <w:tab/>
      </w:r>
      <w:fldSimple w:instr="PAGEREF sec_44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6">
        <w:r>
          <w:t>多发伤合并颅脑损伤</w:t>
        </w:r>
      </w:hyperlink>
      <w:r>
        <w:tab/>
      </w:r>
      <w:fldSimple w:instr="PAGEREF sec_46 \h">
        <w:r>
          <w:t>8</w:t>
        </w:r>
      </w:fldSimple>
    </w:p>
    <w:p>
      <w:pPr>
        <w:tabs>
          <w:tab w:pos="8787" w:val="right" w:leader="dot"/>
        </w:tabs>
        <w:spacing w:after="60"/>
      </w:pPr>
      <w:hyperlink w:anchor="sec_48">
        <w:r>
          <w:t>重要病种完整32项临床与文书单元</w:t>
        </w:r>
      </w:hyperlink>
      <w:r>
        <w:tab/>
      </w:r>
      <w:fldSimple w:instr="PAGEREF sec_48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9">
        <w:r>
          <w:t>轻中重型颅脑损伤与多发伤</w:t>
        </w:r>
      </w:hyperlink>
      <w:r>
        <w:tab/>
      </w:r>
      <w:fldSimple w:instr="PAGEREF sec_49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3">
        <w:r>
          <w:t>硬膜外血肿</w:t>
        </w:r>
      </w:hyperlink>
      <w:r>
        <w:tab/>
      </w:r>
      <w:fldSimple w:instr="PAGEREF sec_103 \h">
        <w:r>
          <w:t>12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6">
        <w:r>
          <w:t>急性硬膜下血肿</w:t>
        </w:r>
      </w:hyperlink>
      <w:r>
        <w:tab/>
      </w:r>
      <w:fldSimple w:instr="PAGEREF sec_156 \h">
        <w:r>
          <w:t>16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09">
        <w:r>
          <w:t>慢性硬膜下血肿</w:t>
        </w:r>
      </w:hyperlink>
      <w:r>
        <w:tab/>
      </w:r>
      <w:fldSimple w:instr="PAGEREF sec_209 \h">
        <w:r>
          <w:t>20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62">
        <w:r>
          <w:t>脑挫裂伤及创伤性脑内血肿</w:t>
        </w:r>
      </w:hyperlink>
      <w:r>
        <w:tab/>
      </w:r>
      <w:fldSimple w:instr="PAGEREF sec_262 \h">
        <w:r>
          <w:t>24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15">
        <w:r>
          <w:t>弥漫性轴索损伤及脑干损伤</w:t>
        </w:r>
      </w:hyperlink>
      <w:r>
        <w:tab/>
      </w:r>
      <w:fldSimple w:instr="PAGEREF sec_315 \h">
        <w:r>
          <w:t>28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68">
        <w:r>
          <w:t>开放性及穿透性颅脑损伤</w:t>
        </w:r>
      </w:hyperlink>
      <w:r>
        <w:tab/>
      </w:r>
      <w:fldSimple w:instr="PAGEREF sec_368 \h">
        <w:r>
          <w:t>32</w:t>
        </w:r>
      </w:fldSimple>
    </w:p>
    <w:p>
      <w:pPr>
        <w:tabs>
          <w:tab w:pos="8787" w:val="right" w:leader="dot"/>
        </w:tabs>
        <w:spacing w:after="60"/>
      </w:pPr>
      <w:hyperlink w:anchor="sec_421">
        <w:r>
          <w:t>本模块专项规则与模拟临床病例</w:t>
        </w:r>
      </w:hyperlink>
      <w:r>
        <w:tab/>
      </w:r>
      <w:fldSimple w:instr="PAGEREF sec_421 \h">
        <w:r>
          <w:t>36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22">
        <w:r>
          <w:t>虚构急性硬膜下血肿案例</w:t>
        </w:r>
      </w:hyperlink>
      <w:r>
        <w:tab/>
      </w:r>
      <w:fldSimple w:instr="PAGEREF sec_422 \h">
        <w:r>
          <w:t>36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24">
        <w:r>
          <w:t>去骨瓣术后虚构案例</w:t>
        </w:r>
      </w:hyperlink>
      <w:r>
        <w:tab/>
      </w:r>
      <w:fldSimple w:instr="PAGEREF sec_424 \h">
        <w:r>
          <w:t>36</w:t>
        </w:r>
      </w:fldSimple>
    </w:p>
    <w:p>
      <w:pPr>
        <w:tabs>
          <w:tab w:pos="8787" w:val="right" w:leader="dot"/>
        </w:tabs>
        <w:spacing w:after="60"/>
      </w:pPr>
      <w:hyperlink w:anchor="sec_426">
        <w:r>
          <w:t>事实边界与常见错误</w:t>
        </w:r>
      </w:hyperlink>
      <w:r>
        <w:tab/>
      </w:r>
      <w:fldSimple w:instr="PAGEREF sec_426 \h">
        <w:r>
          <w:t>36</w:t>
        </w:r>
      </w:fldSimple>
    </w:p>
    <w:p>
      <w:pPr>
        <w:tabs>
          <w:tab w:pos="8787" w:val="right" w:leader="dot"/>
        </w:tabs>
        <w:spacing w:after="60"/>
      </w:pPr>
      <w:hyperlink w:anchor="sec_429">
        <w:r>
          <w:t>模块联动与最终质控</w:t>
        </w:r>
      </w:hyperlink>
      <w:r>
        <w:tab/>
      </w:r>
      <w:fldSimple w:instr="PAGEREF sec_429 \h">
        <w:r>
          <w:t>36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37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专病使用范围与最高约束</w:t>
      </w:r>
      <w:bookmarkEnd w:id="100"/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t>所有专病正式输出遵守01的text代码框，题头在外、正文在内；日常与三级查房单段，无占位符。下面结构模板不是实际病历，须以本例资料替换；对医师意见和手术事实无来源时，不能凭本病知识补齐。专业知识用于提出待核问题和解释证据，不自动成为患者诊疗决定。</w:t>
      </w:r>
    </w:p>
    <w:p>
      <w:pPr>
        <w:pStyle w:val="Heading1"/>
      </w:pPr>
      <w:bookmarkStart w:id="103" w:name="sec_3"/>
      <w:r>
        <w:t>病种覆盖与差异化调用索引</w:t>
      </w:r>
      <w:bookmarkEnd w:id="103"/>
    </w:p>
    <w:p>
      <w:pPr>
        <w:pStyle w:val="Heading2"/>
      </w:pPr>
      <w:bookmarkStart w:id="104" w:name="sec_4"/>
      <w:r>
        <w:t>轻型颅脑损伤</w:t>
      </w:r>
      <w:bookmarkEnd w:id="104"/>
    </w:p>
    <w:p>
      <w:r>
        <w:t>调用本模块“轻中重型颅脑损伤与多发伤”完整32项病种单元，并增加以下特异规则：正常CT不等于没有损伤；出院观察告知必须实际完成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06" w:name="sec_6"/>
      <w:r>
        <w:t>中型颅脑损伤</w:t>
      </w:r>
      <w:bookmarkEnd w:id="106"/>
    </w:p>
    <w:p>
      <w:r>
        <w:t>调用本模块“轻中重型颅脑损伤与多发伤”完整32项病种单元，并增加以下特异规则：神经基线与恶化时间、再评估和手术升级条件明确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08" w:name="sec_8"/>
      <w:r>
        <w:t>重型颅脑损伤</w:t>
      </w:r>
      <w:bookmarkEnd w:id="108"/>
    </w:p>
    <w:p>
      <w:r>
        <w:t>调用本模块“轻中重型颅脑损伤与多发伤”完整32项病种单元，并增加以下特异规则：不能由“重型”倒算GCS；复苏及镇静干扰分开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0" w:name="sec_10"/>
      <w:r>
        <w:t>颅骨骨折</w:t>
      </w:r>
      <w:bookmarkEnd w:id="110"/>
    </w:p>
    <w:p>
      <w:r>
        <w:t>调用本模块“开放性及穿透性颅脑损伤”完整32项病种单元，并增加以下特异规则：线性与凹陷、闭合与开放分别确认，不能有骨折就写开放脑伤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2" w:name="sec_12"/>
      <w:r>
        <w:t>颅底骨折</w:t>
      </w:r>
      <w:bookmarkEnd w:id="112"/>
    </w:p>
    <w:p>
      <w:r>
        <w:t>调用本模块“开放性及穿透性颅脑损伤”完整32项病种单元，并增加以下特异规则：骨窗、耳鼻漏、眼耳和颅神经及血管窦风险，不用常规插管步骤作事实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4" w:name="sec_14"/>
      <w:r>
        <w:t>硬膜外血肿</w:t>
      </w:r>
      <w:bookmarkEnd w:id="114"/>
    </w:p>
    <w:p>
      <w:r>
        <w:t>调用本模块“硬膜外血肿”完整32项病种单元，并增加以下特异规则：后颅窝与静脉窦邻近需单独评估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6" w:name="sec_16"/>
      <w:r>
        <w:t>急性硬膜下血肿</w:t>
      </w:r>
      <w:bookmarkEnd w:id="116"/>
    </w:p>
    <w:p>
      <w:r>
        <w:t>调用本模块“急性硬膜下血肿”完整32项病种单元，并增加以下特异规则：厚度中线瞳孔运动和挫伤分别有时间来源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8" w:name="sec_18"/>
      <w:r>
        <w:t>慢性硬膜下血肿</w:t>
      </w:r>
      <w:bookmarkEnd w:id="118"/>
    </w:p>
    <w:p>
      <w:r>
        <w:t>调用本模块“慢性硬膜下血肿”完整32项病种单元，并增加以下特异规则：单双侧、膜分隔、复发和抗栓状态独立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0" w:name="sec_20"/>
      <w:r>
        <w:t>脑挫裂伤</w:t>
      </w:r>
      <w:bookmarkEnd w:id="120"/>
    </w:p>
    <w:p>
      <w:r>
        <w:t>调用本模块“脑挫裂伤及创伤性脑内血肿”完整32项病种单元，并增加以下特异规则：对冲病灶与伤点可以不同侧，核图像标记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2" w:name="sec_22"/>
      <w:r>
        <w:t>创伤性脑内血肿</w:t>
      </w:r>
      <w:bookmarkEnd w:id="122"/>
    </w:p>
    <w:p>
      <w:r>
        <w:t>调用本模块“脑挫裂伤及创伤性脑内血肿”完整32项病种单元，并增加以下特异规则：体积方法与动态可比性，不能一次CT称扩大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4" w:name="sec_24"/>
      <w:r>
        <w:t>创伤性蛛网膜下腔出血</w:t>
      </w:r>
      <w:bookmarkEnd w:id="124"/>
    </w:p>
    <w:p>
      <w:r>
        <w:t>调用本模块“轻中重型颅脑损伤与多发伤”完整32项病种单元，并增加以下特异规则：创伤依据与出血分布核对，非典型分布考虑血管病因，不能自动当动脉瘤性SAH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6" w:name="sec_26"/>
      <w:r>
        <w:t>弥漫性轴索损伤</w:t>
      </w:r>
      <w:bookmarkEnd w:id="126"/>
    </w:p>
    <w:p>
      <w:r>
        <w:t>调用本模块“弥漫性轴索损伤及脑干损伤”完整32项病种单元，并增加以下特异规则：CT与意识不相称需排药物低氧代谢及发作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8" w:name="sec_28"/>
      <w:r>
        <w:t>脑干损伤</w:t>
      </w:r>
      <w:bookmarkEnd w:id="128"/>
    </w:p>
    <w:p>
      <w:r>
        <w:t>调用本模块“弥漫性轴索损伤及脑干损伤”完整32项病种单元，并增加以下特异规则：脑干影像与颅神经长束反射匹配，昏迷不能单独确诊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0" w:name="sec_30"/>
      <w:r>
        <w:t>开放性颅脑损伤</w:t>
      </w:r>
      <w:bookmarkEnd w:id="130"/>
    </w:p>
    <w:p>
      <w:r>
        <w:t>调用本模块“开放性及穿透性颅脑损伤”完整32项病种单元，并增加以下特异规则：硬膜是否开放、污染及修复真实状态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2" w:name="sec_32"/>
      <w:r>
        <w:t>穿透性颅脑损伤</w:t>
      </w:r>
      <w:bookmarkEnd w:id="132"/>
    </w:p>
    <w:p>
      <w:r>
        <w:t>调用本模块“开放性及穿透性颅脑损伤”完整32项病种单元，并增加以下特异规则：入口轨迹异物血管检查，禁盲目按标准步骤拔异物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4" w:name="sec_34"/>
      <w:r>
        <w:t>创伤合并脑水肿</w:t>
      </w:r>
      <w:bookmarkEnd w:id="134"/>
    </w:p>
    <w:p>
      <w:r>
        <w:t>调用本模块“脑挫裂伤及创伤性脑内血肿”完整32项病种单元，并增加以下特异规则：水肿位置占位和神经变化，不能推ICP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6" w:name="sec_36"/>
      <w:r>
        <w:t>创伤合并颅内压升高</w:t>
      </w:r>
      <w:bookmarkEnd w:id="136"/>
    </w:p>
    <w:p>
      <w:r>
        <w:t>调用本模块“轻中重型颅脑损伤与多发伤”完整32项病种单元，并增加以下特异规则：实测监测模式波形与引流状态，疑似和实测区别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8" w:name="sec_38"/>
      <w:r>
        <w:t>创伤相关脑疝风险</w:t>
      </w:r>
      <w:bookmarkEnd w:id="138"/>
    </w:p>
    <w:p>
      <w:r>
        <w:t>调用本模块“急性硬膜下血肿”完整32项病种单元，并增加以下特异规则：紧急现场评估，风险与确诊分开，不等资料补齐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40" w:name="sec_40"/>
      <w:r>
        <w:t>去骨瓣减压术后</w:t>
      </w:r>
      <w:bookmarkEnd w:id="140"/>
    </w:p>
    <w:p>
      <w:r>
        <w:t>调用本模块“急性硬膜下血肿”完整32项病种单元，并增加以下特异规则：骨瓣去除范围保存与皮瓣、积液脑积水；联05/09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42" w:name="sec_42"/>
      <w:r>
        <w:t>创伤后功能障碍</w:t>
      </w:r>
      <w:bookmarkEnd w:id="142"/>
    </w:p>
    <w:p>
      <w:r>
        <w:t>调用本模块“弥漫性轴索损伤及脑干损伤”完整32项病种单元，并增加以下特异规则：语言认知吞咽运动与照护和真实量表，不能由影像改善推功能恢复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44" w:name="sec_44"/>
      <w:r>
        <w:t>创伤后癫痫相关问题</w:t>
      </w:r>
      <w:bookmarkEnd w:id="144"/>
    </w:p>
    <w:p>
      <w:r>
        <w:t>调用本模块“脑挫裂伤及创伤性脑内血肿”完整32项病种单元，并增加以下特异规则：急性症状性发作与远期癫痫分开，预防用药不等于发作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46" w:name="sec_46"/>
      <w:r>
        <w:t>多发伤合并颅脑损伤</w:t>
      </w:r>
      <w:bookmarkEnd w:id="146"/>
    </w:p>
    <w:p>
      <w:r>
        <w:t>调用本模块“轻中重型颅脑损伤与多发伤”完整32项病种单元，并增加以下特异规则：颅内与胸腹骨盆出血、低氧和颈伤协同，不能只记神经。对于该变体的病程、查房、术前及出院模板，必须将上述差异作为本例需提取的独立证据字段，未提供不自动补阳性或阴性。</w:t>
      </w:r>
    </w:p>
    <w:p>
      <w:pPr>
        <w:pStyle w:val="Heading1"/>
      </w:pPr>
      <w:bookmarkStart w:id="148" w:name="sec_48"/>
      <w:r>
        <w:t>重要病种完整32项临床与文书单元</w:t>
      </w:r>
      <w:bookmarkEnd w:id="148"/>
    </w:p>
    <w:p>
      <w:pPr>
        <w:pStyle w:val="Heading2"/>
      </w:pPr>
      <w:bookmarkStart w:id="149" w:name="sec_49"/>
      <w:r>
        <w:t>轻中重型颅脑损伤与多发伤</w:t>
      </w:r>
      <w:bookmarkEnd w:id="149"/>
    </w:p>
    <w:p>
      <w:r>
        <w:t>01 疾病定义：外力导致脑结构或功能损伤，按实际复苏后神经评估分层。</w:t>
      </w:r>
    </w:p>
    <w:p>
      <w:r>
        <w:t>02 病因及发病机制：直接冲击、加减速及继发缺氧低血压等机制，损伤机制须有来源。</w:t>
      </w:r>
    </w:p>
    <w:p>
      <w:r>
        <w:t>03 临床表现：头痛呕吐遗忘到意识运动障碍，表现随损伤类型不同。</w:t>
      </w:r>
    </w:p>
    <w:p>
      <w:r>
        <w:t>04 病史采集重点：伤时机制、现场意识、低氧低压、抗栓和颈胸腹伴伤。</w:t>
      </w:r>
    </w:p>
    <w:p>
      <w:r>
        <w:t>05 神经系统专科检查：复苏后可测GCS分项、瞳孔局灶体征、全身与颈椎风险。</w:t>
      </w:r>
    </w:p>
    <w:p>
      <w:r>
        <w:t>06 神经定位诊断：按局灶体征结合影像，不能以GCS定具体解剖。</w:t>
      </w:r>
    </w:p>
    <w:p>
      <w:r>
        <w:t>07 定性诊断：明确外伤关联和神经临床/影像证据，区分既往病灶及代谢药物。影像、临床、术中和病理确定度分别表述。。</w:t>
      </w:r>
    </w:p>
    <w:p>
      <w:r>
        <w:t>08 实验室检查：血常规凝血生化血气，结合多发伤失血与抗栓。</w:t>
      </w:r>
    </w:p>
    <w:p>
      <w:r>
        <w:t>09 影像检查：急性CT评血肿骨折占位，必要MRI评轴索或脑干，避免仅CT阴性排除损伤。</w:t>
      </w:r>
    </w:p>
    <w:p>
      <w:r>
        <w:t>10 诊断标准：明确外伤关联和神经临床/影像证据，区分既往病灶及代谢药物。只采用已核验且适用本例的标准，未满足必要项保留待定。。</w:t>
      </w:r>
    </w:p>
    <w:p>
      <w:r>
        <w:t>11 诊断依据：逐项对应本例伤时机制、现场意识、低氧低压、抗栓和颈胸腹伴伤、复苏后可测GCS分项、瞳孔局灶体征、全身与颈椎风险与急性CT评血肿骨折占位，必要MRI评轴索或脑干，避免仅CT阴性排除损伤的实际资料；推理不能替代缺失检查。。</w:t>
      </w:r>
    </w:p>
    <w:p>
      <w:r>
        <w:t>12 鉴别诊断：自发出血导致跌倒、低血糖中毒癫痫后状态及颈髓损伤。</w:t>
      </w:r>
    </w:p>
    <w:p>
      <w:r>
        <w:t>13 分型分级与危险程度：在无关键干扰且完整实测条件下常用GCS13—15/9—12/3—8分层，注明评估时点；不能按重型倒算分值。</w:t>
      </w:r>
    </w:p>
    <w:p>
      <w:r>
        <w:t>14 保守治疗原则：维持氧合灌注、防继发损伤、风险分层观察；不常规一揽子脱水抗菌激素。</w:t>
      </w:r>
    </w:p>
    <w:p>
      <w:r>
        <w:t>15 手术适应性评估：神经恶化、占位、可手术病灶与颅压控制、合并伤及救命目标综合。</w:t>
      </w:r>
    </w:p>
    <w:p>
      <w:r>
        <w:t>16 常见术式：按真实病灶选择清血肿、减压、清创、监测等而非“重型必开颅”。实际方式以术者记录为准。。</w:t>
      </w:r>
    </w:p>
    <w:p>
      <w:r>
        <w:t>17 术前风险：多发伤失血、凝血异常、低氧和手术神经风险。</w:t>
      </w:r>
    </w:p>
    <w:p>
      <w:r>
        <w:t>18 术后监测：神经动态、血肿水肿、ICP有监测时及全身器官。</w:t>
      </w:r>
    </w:p>
    <w:p>
      <w:r>
        <w:t>19 并发症：迟发血肿、发作、感染、脑积水和功能障碍。</w:t>
      </w:r>
    </w:p>
    <w:p>
      <w:r>
        <w:t>20 首次病程模板</w:t>
      </w:r>
    </w:p>
    <w:p>
      <w:r>
        <w:t>以下结构模板中的变量只允许用本例真实资料替换；本文件各模板均遵守此规则，正式输出前删除全部未填变量。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伤时机制、现场意识、低氧低压、抗栓和颈胸腹伴伤的真实内容】；查体【复苏后可测GCS分项、瞳孔局灶体征、全身与颈椎风险的实查与时间】；检查【急性CT评血肿骨折占位，必要MRI评轴索或脑干，避免仅CT阴性排除损伤的实际结果】。</w:t>
      </w:r>
    </w:p>
    <w:p>
      <w:pPr>
        <w:pStyle w:val="MedicalCode"/>
        <w:keepLines w:val="0"/>
      </w:pPr>
      <w:r>
        <w:t>初步诊断：【本例支持的轻中重型颅脑损伤与多发伤或待查诊断与程度】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鉴别诊断：【围绕自发出血导致跌倒、低血糖中毒癫痫后状态及颈髓损伤的本例支持反对及缺项】</w:t>
      </w:r>
    </w:p>
    <w:p>
      <w:pPr>
        <w:pStyle w:val="MedicalCode"/>
        <w:keepLines w:val="0"/>
      </w:pPr>
      <w:r>
        <w:t>诊疗计划：【针对神经恶化、占位、可手术病灶与颅压控制、合并伤及救命目标综合的实际评估、治疗和复查计划】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神经动态、血肿水肿、ICP有监测时及全身器官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神经动态、血肿水肿、ICP有监测时及全身器官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按局灶体征结合影像，不能以GCS定具体解剖的本例证据】及【迟发血肿、发作、感染、脑积水和功能障碍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神经恶化、占位、可手术病灶与颅压控制、合并伤及救命目标综合的个体获益风险】和【认知运动情绪吞咽、伤后发作与内分泌疑虑评估、颅骨状态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简要病情与术前诊断：【支持程度和按局灶体征结合影像，不能以GCS定具体解剖对应事实】</w:t>
      </w:r>
    </w:p>
    <w:p>
      <w:pPr>
        <w:pStyle w:val="MedicalCode"/>
        <w:keepLines w:val="0"/>
      </w:pPr>
      <w:r>
        <w:t>适应性与目标：【本例神经恶化、占位、可手术病灶与颅压控制、合并伤及救命目标综合评估结论】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风险与准备：【多发伤失血、凝血异常、低氧和手术神经风险相关个体风险、实际准备与缺项】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神经动态、血肿水肿、ICP有监测时及全身器官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迟发血肿、发作、感染、脑积水和功能障碍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入院情况：【实际症状、按局灶体征结合影像，不能以GCS定具体解剖相关查体及检查】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出院安排：【认知运动情绪吞咽、伤后发作与内分泌疑虑评估、颅骨状态对应实际决定】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本病随访：【针对认知运动情绪吞咽、伤后发作与内分泌疑虑评估、颅骨状态的实际时间科室项目】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长期随访：认知运动情绪吞咽、伤后发作与内分泌疑虑评估、颅骨状态。每次记录实际随访日期、方式、来源、功能及检查，失访不能当无复发。</w:t>
      </w:r>
    </w:p>
    <w:p>
      <w:r>
        <w:t>31 最终质控：核本病解剖和责任病灶、真实神经查体、在无关键干扰且完整实测条件下常用GCS13—15/9—12/3—8分层，注明评估时点；不能按重型倒算分值的变量来源；检查多发伤失血、凝血异常、低氧和手术神经风险相关实际状态，禁止将风险写为已发生并发症。术前未手术不套术后模板，10终审。</w:t>
      </w:r>
    </w:p>
    <w:p>
      <w:r>
        <w:t>32 参考指南及版本：[T01] Guidelines for the Management of Severe TBI Fourth Edition，2016/2017，Brain Trauma Foundation；[T02] Guidelines for Severe TBI 2020 Update of the Decompressive Craniectomy Recommendations，2020，Brain Trauma Foundation；[T04] Guidelines for the Management of Penetrating Traumatic Brain Injury Second Edition，第二版 官网现列，Brain Trauma Foundation。核验日期2026年10月26日；适用范围与全文访问限制见本文件参考指南说明。</w:t>
      </w:r>
    </w:p>
    <w:p>
      <w:pPr>
        <w:pStyle w:val="Heading2"/>
      </w:pPr>
      <w:bookmarkStart w:id="203" w:name="sec_103"/>
      <w:r>
        <w:t>硬膜外血肿</w:t>
      </w:r>
      <w:bookmarkEnd w:id="203"/>
    </w:p>
    <w:p>
      <w:r>
        <w:t>01 疾病定义：血液位于颅骨内板与硬膜之间。</w:t>
      </w:r>
    </w:p>
    <w:p>
      <w:r>
        <w:t>02 病因及发病机制：外伤后骨折相关动脉或静脉窦损伤，不能默认中脑膜动脉。</w:t>
      </w:r>
    </w:p>
    <w:p>
      <w:r>
        <w:t>03 临床表现：头痛意识变化局灶缺损可出现，但不强求中间清醒期。</w:t>
      </w:r>
    </w:p>
    <w:p>
      <w:r>
        <w:t>04 病史采集重点：伤时、神经改变速度、抗栓、清醒与恶化各时段。</w:t>
      </w:r>
    </w:p>
    <w:p>
      <w:r>
        <w:t>05 神经系统专科检查：意识GCS瞳孔和对侧运动、头皮骨折线索。</w:t>
      </w:r>
    </w:p>
    <w:p>
      <w:r>
        <w:t>06 神经定位诊断：血肿侧叶、顶后颅窝与脑干脑室受压关系。</w:t>
      </w:r>
    </w:p>
    <w:p>
      <w:r>
        <w:t>07 定性诊断：CT间隙形态及外伤证据，非典型需复阅。影像、临床、术中和病理确定度分别表述。。</w:t>
      </w:r>
    </w:p>
    <w:p>
      <w:r>
        <w:t>08 实验室检查：凝血血小板血红蛋白及急诊准备实际结果。</w:t>
      </w:r>
    </w:p>
    <w:p>
      <w:r>
        <w:t>09 影像检查：CT透镜状硬膜外集合常见，厚度体积骨折与静脉窦关系。</w:t>
      </w:r>
    </w:p>
    <w:p>
      <w:r>
        <w:t>10 诊断标准：CT间隙形态及外伤证据，非典型需复阅。只采用已核验且适用本例的标准，未满足必要项保留待定。。</w:t>
      </w:r>
    </w:p>
    <w:p>
      <w:r>
        <w:t>11 诊断依据：逐项对应本例伤时、神经改变速度、抗栓、清醒与恶化各时段、意识GCS瞳孔和对侧运动、头皮骨折线索与CT透镜状硬膜外集合常见，厚度体积骨折与静脉窦关系的实际资料；推理不能替代缺失检查。。</w:t>
      </w:r>
    </w:p>
    <w:p>
      <w:r>
        <w:t>12 鉴别诊断：急硬膜下血肿、骨源肿物及其他硬膜外集合。</w:t>
      </w:r>
    </w:p>
    <w:p>
      <w:r>
        <w:t>13 分型分级与危险程度：以真实量值神经和占位综合危险，不能单一体积决定所有病例。</w:t>
      </w:r>
    </w:p>
    <w:p>
      <w:r>
        <w:t>14 保守治疗原则：选择病例严密观察和复查，任何恶化即时复评。</w:t>
      </w:r>
    </w:p>
    <w:p>
      <w:r>
        <w:t>15 手术适应性评估：血肿负荷、神经变化、位置和占位等由术者综合决定急诊清除。</w:t>
      </w:r>
    </w:p>
    <w:p>
      <w:r>
        <w:t>16 常见术式：硬膜外血肿清除，必要时处理真实出血来源。实际方式以术者记录为准。。</w:t>
      </w:r>
    </w:p>
    <w:p>
      <w:r>
        <w:t>17 术前风险：活动出血静脉窦损伤、脑疝风险与其他共存伤。</w:t>
      </w:r>
    </w:p>
    <w:p>
      <w:r>
        <w:t>18 术后监测：术后意识瞳孔、残留或再积聚和合并血肿。</w:t>
      </w:r>
    </w:p>
    <w:p>
      <w:r>
        <w:t>19 并发症：再出血、感染、发作及遗漏合并颅内损伤。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伤时、神经改变速度、抗栓、清醒与恶化各时段的真实内容】；查体【意识GCS瞳孔和对侧运动、头皮骨折线索的实查与时间】；检查【CT透镜状硬膜外集合常见，厚度体积骨折与静脉窦关系的实际结果】。</w:t>
      </w:r>
    </w:p>
    <w:p>
      <w:pPr>
        <w:pStyle w:val="MedicalCode"/>
        <w:keepLines w:val="0"/>
      </w:pPr>
      <w:r>
        <w:t>初步诊断：【本例支持的硬膜外血肿或待查诊断与程度】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鉴别诊断：【围绕急硬膜下血肿、骨源肿物及其他硬膜外集合的本例支持反对及缺项】</w:t>
      </w:r>
    </w:p>
    <w:p>
      <w:pPr>
        <w:pStyle w:val="MedicalCode"/>
        <w:keepLines w:val="0"/>
      </w:pPr>
      <w:r>
        <w:t>诊疗计划：【针对血肿负荷、神经变化、位置和占位等由术者综合决定急诊清除的实际评估、治疗和复查计划】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术后意识瞳孔、残留或再积聚和合并血肿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术后意识瞳孔、残留或再积聚和合并血肿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血肿侧叶、顶后颅窝与脑干脑室受压关系的本例证据】及【再出血、感染、发作及遗漏合并颅内损伤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血肿负荷、神经变化、位置和占位等由术者综合决定急诊清除的个体获益风险】和【影像与神经恢复、伤后认知及恢复活动许可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简要病情与术前诊断：【支持程度和血肿侧叶、顶后颅窝与脑干脑室受压关系对应事实】</w:t>
      </w:r>
    </w:p>
    <w:p>
      <w:pPr>
        <w:pStyle w:val="MedicalCode"/>
        <w:keepLines w:val="0"/>
      </w:pPr>
      <w:r>
        <w:t>适应性与目标：【本例血肿负荷、神经变化、位置和占位等由术者综合决定急诊清除评估结论】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风险与准备：【活动出血静脉窦损伤、脑疝风险与其他共存伤相关个体风险、实际准备与缺项】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术后意识瞳孔、残留或再积聚和合并血肿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再出血、感染、发作及遗漏合并颅内损伤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入院情况：【实际症状、血肿侧叶、顶后颅窝与脑干脑室受压关系相关查体及检查】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出院安排：【影像与神经恢复、伤后认知及恢复活动许可对应实际决定】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本病随访：【针对影像与神经恢复、伤后认知及恢复活动许可的实际时间科室项目】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长期随访：影像与神经恢复、伤后认知及恢复活动许可。每次记录实际随访日期、方式、来源、功能及检查，失访不能当无复发。</w:t>
      </w:r>
    </w:p>
    <w:p>
      <w:r>
        <w:t>31 最终质控：核本病解剖和责任病灶、真实神经查体、以真实量值神经和占位综合危险，不能单一体积决定所有病例的变量来源；检查活动出血静脉窦损伤、脑疝风险与其他共存伤相关实际状态，禁止将风险写为已发生并发症。术前未手术不套术后模板，10终审。</w:t>
      </w:r>
    </w:p>
    <w:p>
      <w:r>
        <w:t>32 参考指南及版本：[T01] Guidelines for the Management of Severe TBI Fourth Edition，2016/2017，Brain Trauma Foundation；[T02] Guidelines for Severe TBI 2020 Update of the Decompressive Craniectomy Recommendations，2020，Brain Trauma Foundation；[T04] Guidelines for the Management of Penetrating Traumatic Brain Injury Second Edition，第二版 官网现列，Brain Trauma Foundation。核验日期2026年10月26日；适用范围与全文访问限制见本文件参考指南说明。</w:t>
      </w:r>
    </w:p>
    <w:p>
      <w:pPr>
        <w:pStyle w:val="Heading2"/>
      </w:pPr>
      <w:bookmarkStart w:id="256" w:name="sec_156"/>
      <w:r>
        <w:t>急性硬膜下血肿</w:t>
      </w:r>
      <w:bookmarkEnd w:id="256"/>
    </w:p>
    <w:p>
      <w:r>
        <w:t>01 疾病定义：急性血液积于硬膜下，常伴实质损伤。</w:t>
      </w:r>
    </w:p>
    <w:p>
      <w:r>
        <w:t>02 病因及发病机制：桥静脉或皮层血管受伤、加减速与凝血抗栓影响。</w:t>
      </w:r>
    </w:p>
    <w:p>
      <w:r>
        <w:t>03 临床表现：意识变化、瞳孔异常偏瘫或发作，症状不必齐全。</w:t>
      </w:r>
    </w:p>
    <w:p>
      <w:r>
        <w:t>04 病史采集重点：伤时、恶化时、复苏前后神经及抗栓末次执行。</w:t>
      </w:r>
    </w:p>
    <w:p>
      <w:r>
        <w:t>05 神经系统专科检查：E V M可测分项、左右瞳孔与分侧运动、镇静限制。</w:t>
      </w:r>
    </w:p>
    <w:p>
      <w:r>
        <w:t>06 神经定位诊断：凸面硬膜下与皮层挫伤、基底池和中线移位关联。</w:t>
      </w:r>
    </w:p>
    <w:p>
      <w:r>
        <w:t>07 定性诊断：真实CT及临床外伤证据，鉴别急性与慢性上再出血。影像、临床、术中和病理确定度分别表述。。</w:t>
      </w:r>
    </w:p>
    <w:p>
      <w:r>
        <w:t>08 实验室检查：血常规凝血纤维蛋白原血气和电解质。</w:t>
      </w:r>
    </w:p>
    <w:p>
      <w:r>
        <w:t>09 影像检查：CT新月形集合、厚度侧别、中线和基底池；保留共存挫伤。</w:t>
      </w:r>
    </w:p>
    <w:p>
      <w:r>
        <w:t>10 诊断标准：真实CT及临床外伤证据，鉴别急性与慢性上再出血。只采用已核验且适用本例的标准，未满足必要项保留待定。。</w:t>
      </w:r>
    </w:p>
    <w:p>
      <w:r>
        <w:t>11 诊断依据：逐项对应本例伤时、恶化时、复苏前后神经及抗栓末次执行、E V M可测分项、左右瞳孔与分侧运动、镇静限制与CT新月形集合、厚度侧别、中线和基底池；保留共存挫伤的实际资料；推理不能替代缺失检查。。</w:t>
      </w:r>
    </w:p>
    <w:p>
      <w:r>
        <w:t>12 鉴别诊断：硬膜外血肿、慢性或亚急性集合、肿瘤出血。</w:t>
      </w:r>
    </w:p>
    <w:p>
      <w:r>
        <w:t>13 分型分级与危险程度：分层依据神经占位及全身状态；不因昏迷直接写脑疝。</w:t>
      </w:r>
    </w:p>
    <w:p>
      <w:r>
        <w:t>14 保守治疗原则：部分低占位稳定病例严密监测，病情改变立即评估。</w:t>
      </w:r>
    </w:p>
    <w:p>
      <w:r>
        <w:t>15 手术适应性评估：影像负荷、中线、神经与可逆性、颅压和全身状况综合。</w:t>
      </w:r>
    </w:p>
    <w:p>
      <w:r>
        <w:t>16 常见术式：开颅硬膜下血肿清除，是否去骨瓣取决实际评估与术中事实。实际方式以术者记录为准。。</w:t>
      </w:r>
    </w:p>
    <w:p>
      <w:r>
        <w:t>17 术前风险：脑肿胀、再出血、皮层穿支或静脉损伤。</w:t>
      </w:r>
    </w:p>
    <w:p>
      <w:r>
        <w:t>18 术后监测：术前后神经对照、骨瓣去留、术腔对侧血肿及水肿。</w:t>
      </w:r>
    </w:p>
    <w:p>
      <w:r>
        <w:t>19 并发症：脑水肿高压、缺血、发作、积液脑积水和功能残障。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病例特点：【本次伤时、恶化时、复苏前后神经及抗栓末次执行的真实内容】；查体【E V M可测分项、左右瞳孔与分侧运动、镇静限制的实查与时间】；检查【CT新月形集合、厚度侧别、中线和基底池；保留共存挫伤的实际结果】。</w:t>
      </w:r>
    </w:p>
    <w:p>
      <w:pPr>
        <w:pStyle w:val="MedicalCode"/>
        <w:keepLines w:val="0"/>
      </w:pPr>
      <w:r>
        <w:t>初步诊断：【本例支持的急性硬膜下血肿或待查诊断与程度】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鉴别诊断：【围绕硬膜外血肿、慢性或亚急性集合、肿瘤出血的本例支持反对及缺项】</w:t>
      </w:r>
    </w:p>
    <w:p>
      <w:pPr>
        <w:pStyle w:val="MedicalCode"/>
        <w:keepLines w:val="0"/>
      </w:pPr>
      <w:r>
        <w:t>诊疗计划：【针对影像负荷、中线、神经与可逆性、颅压和全身状况综合的实际评估、治疗和复查计划】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术前后神经对照、骨瓣去留、术腔对侧血肿及水肿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术前后神经对照、骨瓣去留、术腔对侧血肿及水肿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凸面硬膜下与皮层挫伤、基底池和中线移位关联的本例证据】及【脑水肿高压、缺血、发作、积液脑积水和功能残障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影像负荷、中线、神经与可逆性、颅压和全身状况综合的个体获益风险】和【认知语言运动及颅骨缺损保护和修补评估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简要病情与术前诊断：【支持程度和凸面硬膜下与皮层挫伤、基底池和中线移位关联对应事实】</w:t>
      </w:r>
    </w:p>
    <w:p>
      <w:pPr>
        <w:pStyle w:val="MedicalCode"/>
        <w:keepLines w:val="0"/>
      </w:pPr>
      <w:r>
        <w:t>适应性与目标：【本例影像负荷、中线、神经与可逆性、颅压和全身状况综合评估结论】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风险与准备：【脑肿胀、再出血、皮层穿支或静脉损伤相关个体风险、实际准备与缺项】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术前后神经对照、骨瓣去留、术腔对侧血肿及水肿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脑水肿高压、缺血、发作、积液脑积水和功能残障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入院情况：【实际症状、凸面硬膜下与皮层挫伤、基底池和中线移位关联相关查体及检查】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出院安排：【认知语言运动及颅骨缺损保护和修补评估对应实际决定】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本病随访：【针对认知语言运动及颅骨缺损保护和修补评估的实际时间科室项目】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长期随访：认知语言运动及颅骨缺损保护和修补评估。每次记录实际随访日期、方式、来源、功能及检查，失访不能当无复发。</w:t>
      </w:r>
    </w:p>
    <w:p>
      <w:r>
        <w:t>31 最终质控：核本病解剖和责任病灶、真实神经查体、分层依据神经占位及全身状态；不因昏迷直接写脑疝的变量来源；检查脑肿胀、再出血、皮层穿支或静脉损伤相关实际状态，禁止将风险写为已发生并发症。术前未手术不套术后模板，10终审。</w:t>
      </w:r>
    </w:p>
    <w:p>
      <w:r>
        <w:t>32 参考指南及版本：[T01] Guidelines for the Management of Severe TBI Fourth Edition，2016/2017，Brain Trauma Foundation；[T02] Guidelines for Severe TBI 2020 Update of the Decompressive Craniectomy Recommendations，2020，Brain Trauma Foundation；[T04] Guidelines for the Management of Penetrating Traumatic Brain Injury Second Edition，第二版 官网现列，Brain Trauma Foundation。核验日期2026年10月26日；适用范围与全文访问限制见本文件参考指南说明。</w:t>
      </w:r>
    </w:p>
    <w:p>
      <w:pPr>
        <w:pStyle w:val="Heading2"/>
      </w:pPr>
      <w:bookmarkStart w:id="309" w:name="sec_209"/>
      <w:r>
        <w:t>慢性硬膜下血肿</w:t>
      </w:r>
      <w:bookmarkEnd w:id="309"/>
    </w:p>
    <w:p>
      <w:r>
        <w:t>01 疾病定义：硬膜下慢性血性液体集合，可单侧双侧。</w:t>
      </w:r>
    </w:p>
    <w:p>
      <w:r>
        <w:t>02 病因及发病机制：常有轻微或未能回忆外伤，膜性微出血炎症及抗栓相关。</w:t>
      </w:r>
    </w:p>
    <w:p>
      <w:r>
        <w:t>03 临床表现：头痛步态认知改变、局灶无力，可无明显创伤史。</w:t>
      </w:r>
    </w:p>
    <w:p>
      <w:r>
        <w:t>04 病史采集重点：近月跌倒、抗栓、认知步态基线及既往引流复发。</w:t>
      </w:r>
    </w:p>
    <w:p>
      <w:r>
        <w:t>05 神经系统专科检查：认知定向、步态、肌力和意识，老年伴病影响。</w:t>
      </w:r>
    </w:p>
    <w:p>
      <w:r>
        <w:t>06 神经定位诊断：凸面单/双侧集合与半球受压；双侧不一定明显中线移位。</w:t>
      </w:r>
    </w:p>
    <w:p>
      <w:r>
        <w:t>07 定性诊断：影像与症状对应，单纯硬膜下积液需区别。影像、临床、术中和病理确定度分别表述。。</w:t>
      </w:r>
    </w:p>
    <w:p>
      <w:r>
        <w:t>08 实验室检查：血常规凝血和影响手术/抗栓的器官功能。</w:t>
      </w:r>
    </w:p>
    <w:p>
      <w:r>
        <w:t>09 影像检查：CT密度混杂、膜分隔、双侧范围和占位；MRI按实际需要。</w:t>
      </w:r>
    </w:p>
    <w:p>
      <w:r>
        <w:t>10 诊断标准：影像与症状对应，单纯硬膜下积液需区别。只采用已核验且适用本例的标准，未满足必要项保留待定。。</w:t>
      </w:r>
    </w:p>
    <w:p>
      <w:r>
        <w:t>11 诊断依据：逐项对应本例近月跌倒、抗栓、认知步态基线及既往引流复发、认知定向、步态、肌力和意识，老年伴病影响与CT密度混杂、膜分隔、双侧范围和占位；MRI按实际需要的实际资料；推理不能替代缺失检查。。</w:t>
      </w:r>
    </w:p>
    <w:p>
      <w:r>
        <w:t>12 鉴别诊断：硬膜下积液、亚急性血肿、痴呆或其他步态病因。</w:t>
      </w:r>
    </w:p>
    <w:p>
      <w:r>
        <w:t>13 分型分级与危险程度：不套急性血肿阈值；分隔复发和功能影响影响方案。</w:t>
      </w:r>
    </w:p>
    <w:p>
      <w:r>
        <w:t>14 保守治疗原则：轻症小负荷可按专科观察；药物或血管内策略需实际适应性和证据核验。</w:t>
      </w:r>
    </w:p>
    <w:p>
      <w:r>
        <w:t>15 手术适应性评估：症状功能占位、复发分隔及手术耐受综合。</w:t>
      </w:r>
    </w:p>
    <w:p>
      <w:r>
        <w:t>16 常见术式：钻孔引流或其他真实方案，介入处置不自动纳入已完成。实际方式以术者记录为准。。</w:t>
      </w:r>
    </w:p>
    <w:p>
      <w:r>
        <w:t>17 术前风险：复发、气颅过度引流、出血和感染。</w:t>
      </w:r>
    </w:p>
    <w:p>
      <w:r>
        <w:t>18 术后监测：引流实际位置量时段性质、神经步态与气颅。</w:t>
      </w:r>
    </w:p>
    <w:p>
      <w:r>
        <w:t>19 并发症：复发血肿、张力性气颅、急性出血和引流相关感染。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近月跌倒、抗栓、认知步态基线及既往引流复发的真实内容】；查体【认知定向、步态、肌力和意识，老年伴病影响的实查与时间】；检查【CT密度混杂、膜分隔、双侧范围和占位；MRI按实际需要的实际结果】。</w:t>
      </w:r>
    </w:p>
    <w:p>
      <w:pPr>
        <w:pStyle w:val="MedicalCode"/>
        <w:keepLines w:val="0"/>
      </w:pPr>
      <w:r>
        <w:t>初步诊断：【本例支持的慢性硬膜下血肿或待查诊断与程度】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鉴别诊断：【围绕硬膜下积液、亚急性血肿、痴呆或其他步态病因的本例支持反对及缺项】</w:t>
      </w:r>
    </w:p>
    <w:p>
      <w:pPr>
        <w:pStyle w:val="MedicalCode"/>
        <w:keepLines w:val="0"/>
      </w:pPr>
      <w:r>
        <w:t>诊疗计划：【针对症状功能占位、复发分隔及手术耐受综合的实际评估、治疗和复查计划】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引流实际位置量时段性质、神经步态与气颅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引流实际位置量时段性质、神经步态与气颅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凸面单/双侧集合与半球受压；双侧不一定明显中线移位的本例证据】及【复发血肿、张力性气颅、急性出血和引流相关感染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症状功能占位、复发分隔及手术耐受综合的个体获益风险】和【症状与影像随访、抗栓复启责任、跌倒预防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简要病情与术前诊断：【支持程度和凸面单/双侧集合与半球受压；双侧不一定明显中线移位对应事实】</w:t>
      </w:r>
    </w:p>
    <w:p>
      <w:pPr>
        <w:pStyle w:val="MedicalCode"/>
        <w:keepLines w:val="0"/>
      </w:pPr>
      <w:r>
        <w:t>适应性与目标：【本例症状功能占位、复发分隔及手术耐受综合评估结论】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风险与准备：【复发、气颅过度引流、出血和感染相关个体风险、实际准备与缺项】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引流实际位置量时段性质、神经步态与气颅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复发血肿、张力性气颅、急性出血和引流相关感染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入院情况：【实际症状、凸面单/双侧集合与半球受压；双侧不一定明显中线移位相关查体及检查】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出院安排：【症状与影像随访、抗栓复启责任、跌倒预防对应实际决定】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本病随访：【针对症状与影像随访、抗栓复启责任、跌倒预防的实际时间科室项目】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长期随访：症状与影像随访、抗栓复启责任、跌倒预防。每次记录实际随访日期、方式、来源、功能及检查，失访不能当无复发。</w:t>
      </w:r>
    </w:p>
    <w:p>
      <w:r>
        <w:t>31 最终质控：核本病解剖和责任病灶、真实神经查体、不套急性血肿阈值；分隔复发和功能影响影响方案的变量来源；检查复发、气颅过度引流、出血和感染相关实际状态，禁止将风险写为已发生并发症。术前未手术不套术后模板，10终审。</w:t>
      </w:r>
    </w:p>
    <w:p>
      <w:r>
        <w:t>32 参考指南及版本：[T01] Guidelines for the Management of Severe TBI Fourth Edition，2016/2017，Brain Trauma Foundation；[T05] 颅骨缺损修补术专家共识 2025版，2025，世界华人神经外科协会颅脑创伤专业委员会 颅骨缺损修补术专家共识协作组。核验日期2026年10月26日；适用范围与全文访问限制见本文件参考指南说明。</w:t>
      </w:r>
    </w:p>
    <w:p>
      <w:pPr>
        <w:pStyle w:val="Heading2"/>
      </w:pPr>
      <w:bookmarkStart w:id="362" w:name="sec_262"/>
      <w:r>
        <w:t>脑挫裂伤及创伤性脑内血肿</w:t>
      </w:r>
      <w:bookmarkEnd w:id="362"/>
    </w:p>
    <w:p>
      <w:r>
        <w:t>01 疾病定义：脑实质挫伤出血，可伴皮层撕裂和脑内血肿。</w:t>
      </w:r>
    </w:p>
    <w:p>
      <w:r>
        <w:t>02 病因及发病机制：冲击对冲和旋转损伤，继发微血管渗漏水肿。</w:t>
      </w:r>
    </w:p>
    <w:p>
      <w:r>
        <w:t>03 临床表现：意识、额颞行为语言、偏瘫发作，随时间可恶化。</w:t>
      </w:r>
    </w:p>
    <w:p>
      <w:r>
        <w:t>04 病史采集重点：撞击机制、连续神经状态、院外用药和复查序列。</w:t>
      </w:r>
    </w:p>
    <w:p>
      <w:r>
        <w:t>05 神经系统专科检查：意识瞳孔运动语言、额叶行为和评估限制。</w:t>
      </w:r>
    </w:p>
    <w:p>
      <w:r>
        <w:t>06 神经定位诊断：皮层/皮质下挫伤与功能区通路对应，不能伤点等于病灶。</w:t>
      </w:r>
    </w:p>
    <w:p>
      <w:r>
        <w:t>07 定性诊断：实质外伤影像和时序，旧出血灶与自发出血鉴别。影像、临床、术中和病理确定度分别表述。。</w:t>
      </w:r>
    </w:p>
    <w:p>
      <w:r>
        <w:t>08 实验室检查：凝血血红蛋白电解质肾功能与血气。</w:t>
      </w:r>
    </w:p>
    <w:p>
      <w:r>
        <w:t>09 影像检查：至少两时点可比CT才称扩大，MRI评深部伴伤。</w:t>
      </w:r>
    </w:p>
    <w:p>
      <w:r>
        <w:t>10 诊断标准：实质外伤影像和时序，旧出血灶与自发出血鉴别。只采用已核验且适用本例的标准，未满足必要项保留待定。。</w:t>
      </w:r>
    </w:p>
    <w:p>
      <w:r>
        <w:t>11 诊断依据：逐项对应本例撞击机制、连续神经状态、院外用药和复查序列、意识瞳孔运动语言、额叶行为和评估限制与至少两时点可比CT才称扩大，MRI评深部伴伤的实际资料；推理不能替代缺失检查。。</w:t>
      </w:r>
    </w:p>
    <w:p>
      <w:r>
        <w:t>12 鉴别诊断：自发性出血、肿瘤出血、梗死出血转化。</w:t>
      </w:r>
    </w:p>
    <w:p>
      <w:r>
        <w:t>13 分型分级与危险程度：按占位神经变化危险，不据一次CT推动态扩大。</w:t>
      </w:r>
    </w:p>
    <w:p>
      <w:r>
        <w:t>14 保守治疗原则：病因和继发损伤管理，个体化评渗透与发作风险。</w:t>
      </w:r>
    </w:p>
    <w:p>
      <w:r>
        <w:t>15 手术适应性评估：挫伤负荷、进行性占位与神经、颅压及全身耐受。</w:t>
      </w:r>
    </w:p>
    <w:p>
      <w:r>
        <w:t>16 常见术式：血肿清除、挫伤病灶处理和可能减压，范围只取真实术记。实际方式以术者记录为准。。</w:t>
      </w:r>
    </w:p>
    <w:p>
      <w:r>
        <w:t>17 术前风险：扩大、功能区损伤、静脉性缺血和发作。</w:t>
      </w:r>
    </w:p>
    <w:p>
      <w:r>
        <w:t>18 术后监测：额颞语言行为、影像水肿、颅压有测时和凝血。</w:t>
      </w:r>
    </w:p>
    <w:p>
      <w:r>
        <w:t>19 并发症：迟发血肿、水肿高压、癫痫及认知行为障碍。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撞击机制、连续神经状态、院外用药和复查序列的真实内容】；查体【意识瞳孔运动语言、额叶行为和评估限制的实查与时间】；检查【至少两时点可比CT才称扩大，MRI评深部伴伤的实际结果】。</w:t>
      </w:r>
    </w:p>
    <w:p>
      <w:pPr>
        <w:pStyle w:val="MedicalCode"/>
        <w:keepLines w:val="0"/>
      </w:pPr>
      <w:r>
        <w:t>初步诊断：【本例支持的脑挫裂伤及创伤性脑内血肿或待查诊断与程度】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鉴别诊断：【围绕自发性出血、肿瘤出血、梗死出血转化的本例支持反对及缺项】</w:t>
      </w:r>
    </w:p>
    <w:p>
      <w:pPr>
        <w:pStyle w:val="MedicalCode"/>
        <w:keepLines w:val="0"/>
      </w:pPr>
      <w:r>
        <w:t>诊疗计划：【针对挫伤负荷、进行性占位与神经、颅压及全身耐受的实际评估、治疗和复查计划】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额颞语言行为、影像水肿、颅压有测时和凝血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额颞语言行为、影像水肿、颅压有测时和凝血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皮层/皮质下挫伤与功能区通路对应，不能伤点等于病灶的本例证据】及【迟发血肿、水肿高压、癫痫及认知行为障碍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挫伤负荷、进行性占位与神经、颅压及全身耐受的个体获益风险】和【认知行为语言运动康复和迟发发作观察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简要病情与术前诊断：【支持程度和皮层/皮质下挫伤与功能区通路对应，不能伤点等于病灶对应事实】</w:t>
      </w:r>
    </w:p>
    <w:p>
      <w:pPr>
        <w:pStyle w:val="MedicalCode"/>
        <w:keepLines w:val="0"/>
      </w:pPr>
      <w:r>
        <w:t>适应性与目标：【本例挫伤负荷、进行性占位与神经、颅压及全身耐受评估结论】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风险与准备：【扩大、功能区损伤、静脉性缺血和发作相关个体风险、实际准备与缺项】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额颞语言行为、影像水肿、颅压有测时和凝血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迟发血肿、水肿高压、癫痫及认知行为障碍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入院情况：【实际症状、皮层/皮质下挫伤与功能区通路对应，不能伤点等于病灶相关查体及检查】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出院安排：【认知行为语言运动康复和迟发发作观察对应实际决定】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本病随访：【针对认知行为语言运动康复和迟发发作观察的实际时间科室项目】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长期随访：认知行为语言运动康复和迟发发作观察。每次记录实际随访日期、方式、来源、功能及检查，失访不能当无复发。</w:t>
      </w:r>
    </w:p>
    <w:p>
      <w:r>
        <w:t>31 最终质控：核本病解剖和责任病灶、真实神经查体、按占位神经变化危险，不据一次CT推动态扩大的变量来源；检查扩大、功能区损伤、静脉性缺血和发作相关实际状态，禁止将风险写为已发生并发症。术前未手术不套术后模板，10终审。</w:t>
      </w:r>
    </w:p>
    <w:p>
      <w:r>
        <w:t>32 参考指南及版本：[T01] Guidelines for the Management of Severe TBI Fourth Edition，2016/2017，Brain Trauma Foundation；[T02] Guidelines for Severe TBI 2020 Update of the Decompressive Craniectomy Recommendations，2020，Brain Trauma Foundation；[T04] Guidelines for the Management of Penetrating Traumatic Brain Injury Second Edition，第二版 官网现列，Brain Trauma Foundation。核验日期2026年10月26日；适用范围与全文访问限制见本文件参考指南说明。</w:t>
      </w:r>
    </w:p>
    <w:p>
      <w:pPr>
        <w:pStyle w:val="Heading2"/>
      </w:pPr>
      <w:bookmarkStart w:id="415" w:name="sec_315"/>
      <w:r>
        <w:t>弥漫性轴索损伤及脑干损伤</w:t>
      </w:r>
      <w:bookmarkEnd w:id="415"/>
    </w:p>
    <w:p>
      <w:r>
        <w:t>01 疾病定义：创伤性白质轴索或脑干结构损伤，影像与临床综合。</w:t>
      </w:r>
    </w:p>
    <w:p>
      <w:r>
        <w:t>02 病因及发病机制：旋转剪切、脑干直接损伤及继发缺氧灌注损伤。</w:t>
      </w:r>
    </w:p>
    <w:p>
      <w:r>
        <w:t>03 临床表现：持续意识障碍可与CT负荷不相称，脑干体征因部位异。</w:t>
      </w:r>
    </w:p>
    <w:p>
      <w:r>
        <w:t>04 病史采集重点：高速加减速、伤后即刻意识、缺氧低压及镇静时间。</w:t>
      </w:r>
    </w:p>
    <w:p>
      <w:r>
        <w:t>05 神经系统专科检查：GCS分项、眼位颅神经脑干反射及运动，禁把镇静限制当反射消失。</w:t>
      </w:r>
    </w:p>
    <w:p>
      <w:r>
        <w:t>06 神经定位诊断：灰白交界胼胝体深部白质和脑干，避免仅昏迷定位脑干。</w:t>
      </w:r>
    </w:p>
    <w:p>
      <w:r>
        <w:t>07 定性诊断：临床机制时序和MRI特征，不能MRI未做就确诊分级。影像、临床、术中和病理确定度分别表述。。</w:t>
      </w:r>
    </w:p>
    <w:p>
      <w:r>
        <w:t>08 实验室检查：血气血糖电解质和代谢中毒鉴别。</w:t>
      </w:r>
    </w:p>
    <w:p>
      <w:r>
        <w:t>09 影像检查：MRI DWI SWI等对应微出血与非出血性轴索病变；CT阴性不排除。</w:t>
      </w:r>
    </w:p>
    <w:p>
      <w:r>
        <w:t>10 诊断标准：临床机制时序和MRI特征，不能MRI未做就确诊分级。只采用已核验且适用本例的标准，未满足必要项保留待定。。</w:t>
      </w:r>
    </w:p>
    <w:p>
      <w:r>
        <w:t>11 诊断依据：逐项对应本例高速加减速、伤后即刻意识、缺氧低压及镇静时间、GCS分项、眼位颅神经脑干反射及运动，禁把镇静限制当反射消失与MRI DWI SWI等对应微出血与非出血性轴索病变；CT阴性不排除的实际资料；推理不能替代缺失检查。。</w:t>
      </w:r>
    </w:p>
    <w:p>
      <w:r>
        <w:t>12 鉴别诊断：缺氧缺血性损伤、镇静中毒、非惊厥发作及代谢性脑病。</w:t>
      </w:r>
    </w:p>
    <w:p>
      <w:r>
        <w:t>13 分型分级与危险程度：影像分级需实际解剖累及资料，不能据昏迷时间推级。</w:t>
      </w:r>
    </w:p>
    <w:p>
      <w:r>
        <w:t>14 保守治疗原则：支持、预防继发损伤、营养康复和重症问题管理。</w:t>
      </w:r>
    </w:p>
    <w:p>
      <w:r>
        <w:t>15 手术适应性评估：弥漫轴索本身通常无局灶可切除目标；合并占位病灶另评。</w:t>
      </w:r>
    </w:p>
    <w:p>
      <w:r>
        <w:t>16 常见术式：针对合并血肿减压或监测，不能写轴索灶常规切除。实际方式以术者记录为准。。</w:t>
      </w:r>
    </w:p>
    <w:p>
      <w:r>
        <w:t>17 术前风险：气道吞咽、自主功能和长期意识障碍。</w:t>
      </w:r>
    </w:p>
    <w:p>
      <w:r>
        <w:t>18 术后监测：受药物影响的神经趋势、EEG如实际、呼吸及功能。</w:t>
      </w:r>
    </w:p>
    <w:p>
      <w:r>
        <w:t>19 并发症：长期意识障碍、吞咽呼吸障碍、痉挛及认知障碍。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病例特点：【本次高速加减速、伤后即刻意识、缺氧低压及镇静时间的真实内容】；查体【GCS分项、眼位颅神经脑干反射及运动，禁把镇静限制当反射消失的实查与时间】；检查【MRI DWI SWI等对应微出血与非出血性轴索病变；CT阴性不排除的实际结果】。</w:t>
      </w:r>
    </w:p>
    <w:p>
      <w:pPr>
        <w:pStyle w:val="MedicalCode"/>
        <w:keepLines w:val="0"/>
      </w:pPr>
      <w:r>
        <w:t>初步诊断：【本例支持的弥漫性轴索损伤及脑干损伤或待查诊断与程度】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鉴别诊断：【围绕缺氧缺血性损伤、镇静中毒、非惊厥发作及代谢性脑病的本例支持反对及缺项】</w:t>
      </w:r>
    </w:p>
    <w:p>
      <w:pPr>
        <w:pStyle w:val="MedicalCode"/>
        <w:keepLines w:val="0"/>
      </w:pPr>
      <w:r>
        <w:t>诊疗计划：【针对弥漫轴索本身通常无局灶可切除目标；合并占位病灶另评的实际评估、治疗和复查计划】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受药物影响的神经趋势、EEG如实际、呼吸及功能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受药物影响的神经趋势、EEG如实际、呼吸及功能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灰白交界胼胝体深部白质和脑干，避免仅昏迷定位脑干的本例证据】及【长期意识障碍、吞咽呼吸障碍、痉挛及认知障碍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弥漫轴索本身通常无局灶可切除目标；合并占位病灶另评的个体获益风险】和【分阶段意识和功能康复，不能早期量表单值保证预后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简要病情与术前诊断：【支持程度和灰白交界胼胝体深部白质和脑干，避免仅昏迷定位脑干对应事实】</w:t>
      </w:r>
    </w:p>
    <w:p>
      <w:pPr>
        <w:pStyle w:val="MedicalCode"/>
        <w:keepLines w:val="0"/>
      </w:pPr>
      <w:r>
        <w:t>适应性与目标：【本例弥漫轴索本身通常无局灶可切除目标；合并占位病灶另评评估结论】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风险与准备：【气道吞咽、自主功能和长期意识障碍相关个体风险、实际准备与缺项】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受药物影响的神经趋势、EEG如实际、呼吸及功能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长期意识障碍、吞咽呼吸障碍、痉挛及认知障碍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入院情况：【实际症状、灰白交界胼胝体深部白质和脑干，避免仅昏迷定位脑干相关查体及检查】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出院安排：【分阶段意识和功能康复，不能早期量表单值保证预后对应实际决定】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本病随访：【针对分阶段意识和功能康复，不能早期量表单值保证预后的实际时间科室项目】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长期随访：分阶段意识和功能康复，不能早期量表单值保证预后。每次记录实际随访日期、方式、来源、功能及检查，失访不能当无复发。</w:t>
      </w:r>
    </w:p>
    <w:p>
      <w:r>
        <w:t>31 最终质控：核本病解剖和责任病灶、真实神经查体、影像分级需实际解剖累及资料，不能据昏迷时间推级的变量来源；检查气道吞咽、自主功能和长期意识障碍相关实际状态，禁止将风险写为已发生并发症。术前未手术不套术后模板，10终审。</w:t>
      </w:r>
    </w:p>
    <w:p>
      <w:r>
        <w:t>32 参考指南及版本：[T01] Guidelines for the Management of Severe TBI Fourth Edition，2016/2017，Brain Trauma Foundation；[T02] Guidelines for Severe TBI 2020 Update of the Decompressive Craniectomy Recommendations，2020，Brain Trauma Foundation；[T04] Guidelines for the Management of Penetrating Traumatic Brain Injury Second Edition，第二版 官网现列，Brain Trauma Foundation。核验日期2026年10月26日；适用范围与全文访问限制见本文件参考指南说明。</w:t>
      </w:r>
    </w:p>
    <w:p>
      <w:pPr>
        <w:pStyle w:val="Heading2"/>
      </w:pPr>
      <w:bookmarkStart w:id="468" w:name="sec_368"/>
      <w:r>
        <w:t>开放性及穿透性颅脑损伤</w:t>
      </w:r>
      <w:bookmarkEnd w:id="468"/>
    </w:p>
    <w:p>
      <w:r>
        <w:t>01 疾病定义：头皮颅骨硬膜与外界交通或异物穿透的脑损伤。</w:t>
      </w:r>
    </w:p>
    <w:p>
      <w:r>
        <w:t>02 病因及发病机制：污染、直接组织毁损及动静脉窦损伤和继发感染。</w:t>
      </w:r>
    </w:p>
    <w:p>
      <w:r>
        <w:t>03 临床表现：伤口出血异物CSF漏、局灶缺损及意识变化。</w:t>
      </w:r>
    </w:p>
    <w:p>
      <w:r>
        <w:t>04 病史采集重点：受伤物、轨迹、污染时间、现场异物处理、破伤风及伴伤真实资料。</w:t>
      </w:r>
    </w:p>
    <w:p>
      <w:r>
        <w:t>05 神经系统专科检查：伤口范围与神经、眼眶颅底、血管出血及颈椎风险，避免盲探。</w:t>
      </w:r>
    </w:p>
    <w:p>
      <w:r>
        <w:t>06 神经定位诊断：入口轨迹病灶与血管窦脑室关系。</w:t>
      </w:r>
    </w:p>
    <w:p>
      <w:r>
        <w:t>07 定性诊断：确实开放或穿透证据，不能头皮裂伤直接等开放性脑伤。影像、临床、术中和病理确定度分别表述。。</w:t>
      </w:r>
    </w:p>
    <w:p>
      <w:r>
        <w:t>08 实验室检查：凝血血型备血及感染基线，培养按实际取材。</w:t>
      </w:r>
    </w:p>
    <w:p>
      <w:r>
        <w:t>09 影像检查：CT及血管检查评轨迹骨异物、迟发血管损伤；金属异物MRI安全先核。</w:t>
      </w:r>
    </w:p>
    <w:p>
      <w:r>
        <w:t>10 诊断标准：确实开放或穿透证据，不能头皮裂伤直接等开放性脑伤。只采用已核验且适用本例的标准，未满足必要项保留待定。。</w:t>
      </w:r>
    </w:p>
    <w:p>
      <w:r>
        <w:t>11 诊断依据：逐项对应本例受伤物、轨迹、污染时间、现场异物处理、破伤风及伴伤真实资料、伤口范围与神经、眼眶颅底、血管出血及颈椎风险，避免盲探与CT及血管检查评轨迹骨异物、迟发血管损伤；金属异物MRI安全先核的实际资料；推理不能替代缺失检查。。</w:t>
      </w:r>
    </w:p>
    <w:p>
      <w:r>
        <w:t>12 鉴别诊断：单纯头皮伤闭合骨折、非创伤性CSF漏。</w:t>
      </w:r>
    </w:p>
    <w:p>
      <w:r>
        <w:t>13 分型分级与危险程度：按轨迹污染血管脑室与全身伤定危险，无统一自动GCS。</w:t>
      </w:r>
    </w:p>
    <w:p>
      <w:r>
        <w:t>14 保守治疗原则：气道循环支持、抗感染破伤风评估和异物保护依真实方案。</w:t>
      </w:r>
    </w:p>
    <w:p>
      <w:r>
        <w:t>15 手术适应性评估：污染开放缺损、异物和血管风险由团队决定清创修复目标。</w:t>
      </w:r>
    </w:p>
    <w:p>
      <w:r>
        <w:t>16 常见术式：清创、血肿处理、硬膜颅底修复及血管处理按真实完成记录。实际方式以术者记录为准。。</w:t>
      </w:r>
    </w:p>
    <w:p>
      <w:r>
        <w:t>17 术前风险：致命出血、感染CSF漏、移除异物诱发血管灾难。</w:t>
      </w:r>
    </w:p>
    <w:p>
      <w:r>
        <w:t>18 术后监测：神经、伤口CSF、感染及迟发血管影像计划。</w:t>
      </w:r>
    </w:p>
    <w:p>
      <w:r>
        <w:t>19 并发症：脑脓肿脑膜炎、假性动脉瘤、发作及功能损伤。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受伤物、轨迹、污染时间、现场异物处理、破伤风及伴伤真实资料的真实内容】；查体【伤口范围与神经、眼眶颅底、血管出血及颈椎风险，避免盲探的实查与时间】；检查【CT及血管检查评轨迹骨异物、迟发血管损伤；金属异物MRI安全先核的实际结果】。</w:t>
      </w:r>
    </w:p>
    <w:p>
      <w:pPr>
        <w:pStyle w:val="MedicalCode"/>
        <w:keepLines w:val="0"/>
      </w:pPr>
      <w:r>
        <w:t>初步诊断：【本例支持的开放性及穿透性颅脑损伤或待查诊断与程度】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鉴别诊断：【围绕单纯头皮伤闭合骨折、非创伤性CSF漏的本例支持反对及缺项】</w:t>
      </w:r>
    </w:p>
    <w:p>
      <w:pPr>
        <w:pStyle w:val="MedicalCode"/>
        <w:keepLines w:val="0"/>
      </w:pPr>
      <w:r>
        <w:t>诊疗计划：【针对污染开放缺损、异物和血管风险由团队决定清创修复目标的实际评估、治疗和复查计划】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神经、伤口CSF、感染及迟发血管影像计划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神经、伤口CSF、感染及迟发血管影像计划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入口轨迹病灶与血管窦脑室关系的本例证据】及【脑脓肿脑膜炎、假性动脉瘤、发作及功能损伤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污染开放缺损、异物和血管风险由团队决定清创修复目标的个体获益风险】和【感染血管和发作长期观察、重建及康复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简要病情与术前诊断：【支持程度和入口轨迹病灶与血管窦脑室关系对应事实】</w:t>
      </w:r>
    </w:p>
    <w:p>
      <w:pPr>
        <w:pStyle w:val="MedicalCode"/>
        <w:keepLines w:val="0"/>
      </w:pPr>
      <w:r>
        <w:t>适应性与目标：【本例污染开放缺损、异物和血管风险由团队决定清创修复目标评估结论】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风险与准备：【致命出血、感染CSF漏、移除异物诱发血管灾难相关个体风险、实际准备与缺项】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神经、伤口CSF、感染及迟发血管影像计划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脑脓肿脑膜炎、假性动脉瘤、发作及功能损伤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入院情况：【实际症状、入口轨迹病灶与血管窦脑室关系相关查体及检查】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出院安排：【感染血管和发作长期观察、重建及康复对应实际决定】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本病随访：【针对感染血管和发作长期观察、重建及康复的实际时间科室项目】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长期随访：感染血管和发作长期观察、重建及康复。每次记录实际随访日期、方式、来源、功能及检查，失访不能当无复发。</w:t>
      </w:r>
    </w:p>
    <w:p>
      <w:r>
        <w:t>31 最终质控：核本病解剖和责任病灶、真实神经查体、按轨迹污染血管脑室与全身伤定危险，无统一自动GCS的变量来源；检查致命出血、感染CSF漏、移除异物诱发血管灾难相关实际状态，禁止将风险写为已发生并发症。术前未手术不套术后模板，10终审。</w:t>
      </w:r>
    </w:p>
    <w:p>
      <w:r>
        <w:t>32 参考指南及版本：[T01] Guidelines for the Management of Severe TBI Fourth Edition，2016/2017，Brain Trauma Foundation；[T02] Guidelines for Severe TBI 2020 Update of the Decompressive Craniectomy Recommendations，2020，Brain Trauma Foundation；[T04] Guidelines for the Management of Penetrating Traumatic Brain Injury Second Edition，第二版 官网现列，Brain Trauma Foundation。核验日期2026年10月26日；适用范围与全文访问限制见本文件参考指南说明。</w:t>
      </w:r>
    </w:p>
    <w:p>
      <w:pPr>
        <w:pStyle w:val="Heading1"/>
      </w:pPr>
      <w:bookmarkStart w:id="521" w:name="sec_421"/>
      <w:r>
        <w:t>本模块专项规则与模拟临床病例</w:t>
      </w:r>
      <w:bookmarkEnd w:id="521"/>
    </w:p>
    <w:p>
      <w:pPr>
        <w:pStyle w:val="Heading2"/>
      </w:pPr>
      <w:bookmarkStart w:id="522" w:name="sec_422"/>
      <w:r>
        <w:t>虚构急性硬膜下血肿案例</w:t>
      </w:r>
      <w:bookmarkEnd w:id="522"/>
    </w:p>
    <w:p>
      <w:r>
        <w:t>SIM-TBI-01：右侧急性硬膜下血肿，伤时08:00，10:00 CT，11:00拟手术而未有完成记录。首次病程以外伤与影像支持初诊；不得写术后状态。分项缺语言反应不合计GCS。</w:t>
      </w:r>
    </w:p>
    <w:p>
      <w:pPr>
        <w:pStyle w:val="Heading2"/>
      </w:pPr>
      <w:bookmarkStart w:id="524" w:name="sec_424"/>
      <w:r>
        <w:t>去骨瓣术后虚构案例</w:t>
      </w:r>
      <w:bookmarkEnd w:id="524"/>
    </w:p>
    <w:p>
      <w:r>
        <w:t>SIM-TBI-02：10-25实际右侧去骨瓣和血肿清除，10-26为POD1；术记无范围厘米数，不能补12×15cm。只有护理“可活动”不能替代医师当次肌力评估。</w:t>
      </w:r>
    </w:p>
    <w:p>
      <w:pPr>
        <w:pStyle w:val="Heading1"/>
      </w:pPr>
      <w:bookmarkStart w:id="526" w:name="sec_426"/>
      <w:r>
        <w:t>事实边界与常见错误</w:t>
      </w:r>
      <w:bookmarkEnd w:id="526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529" w:name="sec_429"/>
      <w:r>
        <w:t>模块联动与最终质控</w:t>
      </w:r>
      <w:bookmarkEnd w:id="529"/>
    </w:p>
    <w:p>
      <w:r>
        <w:t>由00进入，01约束，11绑定患者及住院事件后调用101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[T01] Guidelines for the Management of Severe TBI Fourth Edition。发布机构：Brain Trauma Foundation；年份/版本：2016/2017；核验日期：2026年10月26日。适用范围：成人重型颅脑创伤；不外推儿童或非创伤疾病。核验层级：原始PDF和官网现行目录已核验。来源：https://braintrauma.org/s/Management_of_Severe_TBI_4th_Edition.pdf</w:t>
      </w:r>
    </w:p>
    <w:p>
      <w:r>
        <w:t>[T02] Guidelines for Severe TBI 2020 Update of the Decompressive Craniectomy Recommendations。发布机构：Brain Trauma Foundation；年份/版本：2020；核验日期：2026年10月26日。适用范围：继发性去骨瓣减压的证据边界；不代替原发血肿清除决定。核验层级：官网更新目录已核验。来源：https://braintrauma.org/coma/guidelines-current</w:t>
      </w:r>
    </w:p>
    <w:p>
      <w:r>
        <w:t>[T04] Guidelines for the Management of Penetrating Traumatic Brain Injury Second Edition。发布机构：Brain Trauma Foundation；年份/版本：第二版 官网现列；核验日期：2026年10月26日。适用范围：穿透伤污染、血管风险及特殊评估。核验层级：官网已列正式发布；具体出版年和全文条款待逐条核对，不推填年份。来源：https://braintrauma.org/coma/guidelines-current</w:t>
      </w:r>
    </w:p>
    <w:p>
      <w:r>
        <w:t>[T05] 颅骨缺损修补术专家共识 2025版。发布机构：世界华人神经外科协会颅脑创伤专业委员会 颅骨缺损修补术专家共识协作组；年份/版本：2025；核验日期：2026年10月26日。适用范围：颅骨缺损修补的评估与管理。核验层级：原期刊摘要与元数据已核验。来源：https://zhsjcswkdzzz.cma-cmc.com.cn/CN/10.3877/cma.j.issn.2095-9141.2025.04.002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101  |  </w:t>
    </w:r>
    <w:fldSimple w:instr="PAGE">
      <w:r>
        <w:t>1</w:t>
      </w:r>
    </w:fldSimple>
    <w:r>
      <w:t xml:space="preserve"> / </w:t>
    </w:r>
    <w:fldSimple w:instr="NUMPAGES">
      <w:r>
        <w:t>38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颅脑创伤及创伤性颅内出血专病模板库</dc:title>
  <dc:subject>神经外科医学文书规则库</dc:subject>
  <dc:creator>神经外科病历模板库</dc:creator>
  <cp:keywords>101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