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神经外科AI病历书写系统</w:t>
      </w:r>
    </w:p>
    <w:p>
      <w:pPr>
        <w:pStyle w:val="Subtitle"/>
      </w:pPr>
      <w:r>
        <w:t>V1.0</w:t>
      </w:r>
    </w:p>
    <w:p>
      <w:pPr>
        <w:pStyle w:val="Title"/>
      </w:pPr>
      <w:r>
        <w:t>104 颅底垂体鞍区及后颅窝疾病专病模板库</w:t>
      </w:r>
    </w:p>
    <w:p>
      <w:r>
        <w:t>模块编号 104    版本 V1.0</w:t>
      </w:r>
    </w:p>
    <w:p>
      <w:r>
        <w:t>所属层级 第三级 专病知识层</w:t>
      </w:r>
    </w:p>
    <w:p>
      <w:r>
        <w:t>创建及公开来源核验日期 2026年10月26日</w:t>
      </w:r>
    </w:p>
    <w:p>
      <w:r>
        <w:t>功能定位 专病证据分析与连续文书生成</w:t>
      </w:r>
    </w:p>
    <w:p>
      <w:r>
        <w:t>适用范围 20类颅底垂体鞍区与后颅窝问题</w:t>
      </w:r>
    </w:p>
    <w:p>
      <w:r>
        <w:t>自动调用条件 11识别该病种、相关手术或特异并发症；儿童另联108</w:t>
      </w:r>
    </w:p>
    <w:p>
      <w:r>
        <w:t>供中国医院神经外科临床医师使用的文书辅助规则库。阅读本模块后，应能提取本例证据、选择诊疗阶段、保留事实边界并生成可审核的病历正文。</w:t>
      </w:r>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br w:type="page"/>
      </w:r>
    </w:p>
    <w:p>
      <w:pPr>
        <w:pStyle w:val="Title"/>
      </w:pPr>
      <w:r>
        <w:t>目录</w:t>
      </w:r>
    </w:p>
    <w:p>
      <w:r>
        <w:fldChar w:fldCharType="begin"/>
      </w:r>
      <w:r>
        <w:instrText xml:space="preserve"> TOC \o "1-2" \h \z \u </w:instrText>
      </w:r>
      <w:r>
        <w:fldChar w:fldCharType="separate"/>
      </w:r>
    </w:p>
    <w:p>
      <w:pPr>
        <w:tabs>
          <w:tab w:pos="8787" w:val="right" w:leader="dot"/>
        </w:tabs>
        <w:spacing w:after="60"/>
      </w:pPr>
      <w:hyperlink w:anchor="sec_0">
        <w:r>
          <w:t>专病使用范围与最高约束</w:t>
        </w:r>
      </w:hyperlink>
      <w:r>
        <w:tab/>
      </w:r>
      <w:fldSimple w:instr="PAGEREF sec_0 \h">
        <w:r>
          <w:t>4</w:t>
        </w:r>
      </w:fldSimple>
    </w:p>
    <w:p>
      <w:pPr>
        <w:tabs>
          <w:tab w:pos="8787" w:val="right" w:leader="dot"/>
        </w:tabs>
        <w:spacing w:after="60"/>
      </w:pPr>
      <w:hyperlink w:anchor="sec_3">
        <w:r>
          <w:t>病种覆盖与差异化调用索引</w:t>
        </w:r>
      </w:hyperlink>
      <w:r>
        <w:tab/>
      </w:r>
      <w:fldSimple w:instr="PAGEREF sec_3 \h">
        <w:r>
          <w:t>4</w:t>
        </w:r>
      </w:fldSimple>
    </w:p>
    <w:p>
      <w:pPr>
        <w:tabs>
          <w:tab w:pos="8787" w:val="right" w:leader="dot"/>
        </w:tabs>
        <w:spacing w:after="60"/>
        <w:ind w:left="255"/>
      </w:pPr>
      <w:hyperlink w:anchor="sec_4">
        <w:r>
          <w:t>垂体腺瘤及相关垂体肿瘤</w:t>
        </w:r>
      </w:hyperlink>
      <w:r>
        <w:tab/>
      </w:r>
      <w:fldSimple w:instr="PAGEREF sec_4 \h">
        <w:r>
          <w:t>4</w:t>
        </w:r>
      </w:fldSimple>
    </w:p>
    <w:p>
      <w:pPr>
        <w:tabs>
          <w:tab w:pos="8787" w:val="right" w:leader="dot"/>
        </w:tabs>
        <w:spacing w:after="60"/>
        <w:ind w:left="255"/>
      </w:pPr>
      <w:hyperlink w:anchor="sec_6">
        <w:r>
          <w:t>垂体大腺瘤</w:t>
        </w:r>
      </w:hyperlink>
      <w:r>
        <w:tab/>
      </w:r>
      <w:fldSimple w:instr="PAGEREF sec_6 \h">
        <w:r>
          <w:t>4</w:t>
        </w:r>
      </w:fldSimple>
    </w:p>
    <w:p>
      <w:pPr>
        <w:tabs>
          <w:tab w:pos="8787" w:val="right" w:leader="dot"/>
        </w:tabs>
        <w:spacing w:after="60"/>
        <w:ind w:left="255"/>
      </w:pPr>
      <w:hyperlink w:anchor="sec_8">
        <w:r>
          <w:t>功能性垂体肿瘤</w:t>
        </w:r>
      </w:hyperlink>
      <w:r>
        <w:tab/>
      </w:r>
      <w:fldSimple w:instr="PAGEREF sec_8 \h">
        <w:r>
          <w:t>4</w:t>
        </w:r>
      </w:fldSimple>
    </w:p>
    <w:p>
      <w:pPr>
        <w:tabs>
          <w:tab w:pos="8787" w:val="right" w:leader="dot"/>
        </w:tabs>
        <w:spacing w:after="60"/>
        <w:ind w:left="255"/>
      </w:pPr>
      <w:hyperlink w:anchor="sec_10">
        <w:r>
          <w:t>非功能性垂体肿瘤</w:t>
        </w:r>
      </w:hyperlink>
      <w:r>
        <w:tab/>
      </w:r>
      <w:fldSimple w:instr="PAGEREF sec_10 \h">
        <w:r>
          <w:t>5</w:t>
        </w:r>
      </w:fldSimple>
    </w:p>
    <w:p>
      <w:pPr>
        <w:tabs>
          <w:tab w:pos="8787" w:val="right" w:leader="dot"/>
        </w:tabs>
        <w:spacing w:after="60"/>
        <w:ind w:left="255"/>
      </w:pPr>
      <w:hyperlink w:anchor="sec_12">
        <w:r>
          <w:t>颅咽管瘤</w:t>
        </w:r>
      </w:hyperlink>
      <w:r>
        <w:tab/>
      </w:r>
      <w:fldSimple w:instr="PAGEREF sec_12 \h">
        <w:r>
          <w:t>5</w:t>
        </w:r>
      </w:fldSimple>
    </w:p>
    <w:p>
      <w:pPr>
        <w:tabs>
          <w:tab w:pos="8787" w:val="right" w:leader="dot"/>
        </w:tabs>
        <w:spacing w:after="60"/>
        <w:ind w:left="255"/>
      </w:pPr>
      <w:hyperlink w:anchor="sec_14">
        <w:r>
          <w:t>鞍区其他占位</w:t>
        </w:r>
      </w:hyperlink>
      <w:r>
        <w:tab/>
      </w:r>
      <w:fldSimple w:instr="PAGEREF sec_14 \h">
        <w:r>
          <w:t>5</w:t>
        </w:r>
      </w:fldSimple>
    </w:p>
    <w:p>
      <w:pPr>
        <w:tabs>
          <w:tab w:pos="8787" w:val="right" w:leader="dot"/>
        </w:tabs>
        <w:spacing w:after="60"/>
        <w:ind w:left="255"/>
      </w:pPr>
      <w:hyperlink w:anchor="sec_16">
        <w:r>
          <w:t>颅底脑膜瘤</w:t>
        </w:r>
      </w:hyperlink>
      <w:r>
        <w:tab/>
      </w:r>
      <w:fldSimple w:instr="PAGEREF sec_16 \h">
        <w:r>
          <w:t>5</w:t>
        </w:r>
      </w:fldSimple>
    </w:p>
    <w:p>
      <w:pPr>
        <w:tabs>
          <w:tab w:pos="8787" w:val="right" w:leader="dot"/>
        </w:tabs>
        <w:spacing w:after="60"/>
        <w:ind w:left="255"/>
      </w:pPr>
      <w:hyperlink w:anchor="sec_18">
        <w:r>
          <w:t>听神经鞘瘤</w:t>
        </w:r>
      </w:hyperlink>
      <w:r>
        <w:tab/>
      </w:r>
      <w:fldSimple w:instr="PAGEREF sec_18 \h">
        <w:r>
          <w:t>5</w:t>
        </w:r>
      </w:fldSimple>
    </w:p>
    <w:p>
      <w:pPr>
        <w:tabs>
          <w:tab w:pos="8787" w:val="right" w:leader="dot"/>
        </w:tabs>
        <w:spacing w:after="60"/>
        <w:ind w:left="255"/>
      </w:pPr>
      <w:hyperlink w:anchor="sec_20">
        <w:r>
          <w:t>桥小脑角肿瘤</w:t>
        </w:r>
      </w:hyperlink>
      <w:r>
        <w:tab/>
      </w:r>
      <w:fldSimple w:instr="PAGEREF sec_20 \h">
        <w:r>
          <w:t>5</w:t>
        </w:r>
      </w:fldSimple>
    </w:p>
    <w:p>
      <w:pPr>
        <w:tabs>
          <w:tab w:pos="8787" w:val="right" w:leader="dot"/>
        </w:tabs>
        <w:spacing w:after="60"/>
        <w:ind w:left="255"/>
      </w:pPr>
      <w:hyperlink w:anchor="sec_22">
        <w:r>
          <w:t>后颅窝肿瘤</w:t>
        </w:r>
      </w:hyperlink>
      <w:r>
        <w:tab/>
      </w:r>
      <w:fldSimple w:instr="PAGEREF sec_22 \h">
        <w:r>
          <w:t>6</w:t>
        </w:r>
      </w:fldSimple>
    </w:p>
    <w:p>
      <w:pPr>
        <w:tabs>
          <w:tab w:pos="8787" w:val="right" w:leader="dot"/>
        </w:tabs>
        <w:spacing w:after="60"/>
        <w:ind w:left="255"/>
      </w:pPr>
      <w:hyperlink w:anchor="sec_24">
        <w:r>
          <w:t>脑干邻近肿瘤</w:t>
        </w:r>
      </w:hyperlink>
      <w:r>
        <w:tab/>
      </w:r>
      <w:fldSimple w:instr="PAGEREF sec_24 \h">
        <w:r>
          <w:t>6</w:t>
        </w:r>
      </w:fldSimple>
    </w:p>
    <w:p>
      <w:pPr>
        <w:tabs>
          <w:tab w:pos="8787" w:val="right" w:leader="dot"/>
        </w:tabs>
        <w:spacing w:after="60"/>
        <w:ind w:left="255"/>
      </w:pPr>
      <w:hyperlink w:anchor="sec_26">
        <w:r>
          <w:t>颅底骨性或软组织病变</w:t>
        </w:r>
      </w:hyperlink>
      <w:r>
        <w:tab/>
      </w:r>
      <w:fldSimple w:instr="PAGEREF sec_26 \h">
        <w:r>
          <w:t>6</w:t>
        </w:r>
      </w:fldSimple>
    </w:p>
    <w:p>
      <w:pPr>
        <w:tabs>
          <w:tab w:pos="8787" w:val="right" w:leader="dot"/>
        </w:tabs>
        <w:spacing w:after="60"/>
        <w:ind w:left="255"/>
      </w:pPr>
      <w:hyperlink w:anchor="sec_28">
        <w:r>
          <w:t>颅底脑脊液漏</w:t>
        </w:r>
      </w:hyperlink>
      <w:r>
        <w:tab/>
      </w:r>
      <w:fldSimple w:instr="PAGEREF sec_28 \h">
        <w:r>
          <w:t>6</w:t>
        </w:r>
      </w:fldSimple>
    </w:p>
    <w:p>
      <w:pPr>
        <w:tabs>
          <w:tab w:pos="8787" w:val="right" w:leader="dot"/>
        </w:tabs>
        <w:spacing w:after="60"/>
        <w:ind w:left="255"/>
      </w:pPr>
      <w:hyperlink w:anchor="sec_30">
        <w:r>
          <w:t>经鼻蝶手术</w:t>
        </w:r>
      </w:hyperlink>
      <w:r>
        <w:tab/>
      </w:r>
      <w:fldSimple w:instr="PAGEREF sec_30 \h">
        <w:r>
          <w:t>6</w:t>
        </w:r>
      </w:fldSimple>
    </w:p>
    <w:p>
      <w:pPr>
        <w:tabs>
          <w:tab w:pos="8787" w:val="right" w:leader="dot"/>
        </w:tabs>
        <w:spacing w:after="60"/>
        <w:ind w:left="255"/>
      </w:pPr>
      <w:hyperlink w:anchor="sec_32">
        <w:r>
          <w:t>内镜颅底手术</w:t>
        </w:r>
      </w:hyperlink>
      <w:r>
        <w:tab/>
      </w:r>
      <w:fldSimple w:instr="PAGEREF sec_32 \h">
        <w:r>
          <w:t>6</w:t>
        </w:r>
      </w:fldSimple>
    </w:p>
    <w:p>
      <w:pPr>
        <w:tabs>
          <w:tab w:pos="8787" w:val="right" w:leader="dot"/>
        </w:tabs>
        <w:spacing w:after="60"/>
        <w:ind w:left="255"/>
      </w:pPr>
      <w:hyperlink w:anchor="sec_34">
        <w:r>
          <w:t>颅底重建</w:t>
        </w:r>
      </w:hyperlink>
      <w:r>
        <w:tab/>
      </w:r>
      <w:fldSimple w:instr="PAGEREF sec_34 \h">
        <w:r>
          <w:t>7</w:t>
        </w:r>
      </w:fldSimple>
    </w:p>
    <w:p>
      <w:pPr>
        <w:tabs>
          <w:tab w:pos="8787" w:val="right" w:leader="dot"/>
        </w:tabs>
        <w:spacing w:after="60"/>
        <w:ind w:left="255"/>
      </w:pPr>
      <w:hyperlink w:anchor="sec_36">
        <w:r>
          <w:t>垂体术后水钠紊乱</w:t>
        </w:r>
      </w:hyperlink>
      <w:r>
        <w:tab/>
      </w:r>
      <w:fldSimple w:instr="PAGEREF sec_36 \h">
        <w:r>
          <w:t>7</w:t>
        </w:r>
      </w:fldSimple>
    </w:p>
    <w:p>
      <w:pPr>
        <w:tabs>
          <w:tab w:pos="8787" w:val="right" w:leader="dot"/>
        </w:tabs>
        <w:spacing w:after="60"/>
        <w:ind w:left="255"/>
      </w:pPr>
      <w:hyperlink w:anchor="sec_38">
        <w:r>
          <w:t>垂体术后激素缺乏</w:t>
        </w:r>
      </w:hyperlink>
      <w:r>
        <w:tab/>
      </w:r>
      <w:fldSimple w:instr="PAGEREF sec_38 \h">
        <w:r>
          <w:t>7</w:t>
        </w:r>
      </w:fldSimple>
    </w:p>
    <w:p>
      <w:pPr>
        <w:tabs>
          <w:tab w:pos="8787" w:val="right" w:leader="dot"/>
        </w:tabs>
        <w:spacing w:after="60"/>
        <w:ind w:left="255"/>
      </w:pPr>
      <w:hyperlink w:anchor="sec_40">
        <w:r>
          <w:t>视功能颅神经障碍</w:t>
        </w:r>
      </w:hyperlink>
      <w:r>
        <w:tab/>
      </w:r>
      <w:fldSimple w:instr="PAGEREF sec_40 \h">
        <w:r>
          <w:t>7</w:t>
        </w:r>
      </w:fldSimple>
    </w:p>
    <w:p>
      <w:pPr>
        <w:tabs>
          <w:tab w:pos="8787" w:val="right" w:leader="dot"/>
        </w:tabs>
        <w:spacing w:after="60"/>
        <w:ind w:left="255"/>
      </w:pPr>
      <w:hyperlink w:anchor="sec_42">
        <w:r>
          <w:t>复杂颅底术后管理</w:t>
        </w:r>
      </w:hyperlink>
      <w:r>
        <w:tab/>
      </w:r>
      <w:fldSimple w:instr="PAGEREF sec_42 \h">
        <w:r>
          <w:t>7</w:t>
        </w:r>
      </w:fldSimple>
    </w:p>
    <w:p>
      <w:pPr>
        <w:tabs>
          <w:tab w:pos="8787" w:val="right" w:leader="dot"/>
        </w:tabs>
        <w:spacing w:after="60"/>
      </w:pPr>
      <w:hyperlink w:anchor="sec_44">
        <w:r>
          <w:t>重要病种完整32项临床与文书单元</w:t>
        </w:r>
      </w:hyperlink>
      <w:r>
        <w:tab/>
      </w:r>
      <w:fldSimple w:instr="PAGEREF sec_44 \h">
        <w:r>
          <w:t>7</w:t>
        </w:r>
      </w:fldSimple>
    </w:p>
    <w:p>
      <w:pPr>
        <w:tabs>
          <w:tab w:pos="8787" w:val="right" w:leader="dot"/>
        </w:tabs>
        <w:spacing w:after="60"/>
        <w:ind w:left="255"/>
      </w:pPr>
      <w:hyperlink w:anchor="sec_45">
        <w:r>
          <w:t>垂体肿瘤及功能性垂体病变</w:t>
        </w:r>
      </w:hyperlink>
      <w:r>
        <w:tab/>
      </w:r>
      <w:fldSimple w:instr="PAGEREF sec_45 \h">
        <w:r>
          <w:t>7</w:t>
        </w:r>
      </w:fldSimple>
    </w:p>
    <w:p>
      <w:pPr>
        <w:tabs>
          <w:tab w:pos="8787" w:val="right" w:leader="dot"/>
        </w:tabs>
        <w:spacing w:after="60"/>
        <w:ind w:left="255"/>
      </w:pPr>
      <w:hyperlink w:anchor="sec_99">
        <w:r>
          <w:t>垂体术后水钠与激素异常</w:t>
        </w:r>
      </w:hyperlink>
      <w:r>
        <w:tab/>
      </w:r>
      <w:fldSimple w:instr="PAGEREF sec_99 \h">
        <w:r>
          <w:t>11</w:t>
        </w:r>
      </w:fldSimple>
    </w:p>
    <w:p>
      <w:pPr>
        <w:tabs>
          <w:tab w:pos="8787" w:val="right" w:leader="dot"/>
        </w:tabs>
        <w:spacing w:after="60"/>
        <w:ind w:left="255"/>
      </w:pPr>
      <w:hyperlink w:anchor="sec_152">
        <w:r>
          <w:t>颅咽管瘤与其他鞍区占位</w:t>
        </w:r>
      </w:hyperlink>
      <w:r>
        <w:tab/>
      </w:r>
      <w:fldSimple w:instr="PAGEREF sec_152 \h">
        <w:r>
          <w:t>15</w:t>
        </w:r>
      </w:fldSimple>
    </w:p>
    <w:p>
      <w:pPr>
        <w:tabs>
          <w:tab w:pos="8787" w:val="right" w:leader="dot"/>
        </w:tabs>
        <w:spacing w:after="60"/>
        <w:ind w:left="255"/>
      </w:pPr>
      <w:hyperlink w:anchor="sec_205">
        <w:r>
          <w:t>颅底脑膜瘤及骨性软组织病变</w:t>
        </w:r>
      </w:hyperlink>
      <w:r>
        <w:tab/>
      </w:r>
      <w:fldSimple w:instr="PAGEREF sec_205 \h">
        <w:r>
          <w:t>19</w:t>
        </w:r>
      </w:fldSimple>
    </w:p>
    <w:p>
      <w:pPr>
        <w:tabs>
          <w:tab w:pos="8787" w:val="right" w:leader="dot"/>
        </w:tabs>
        <w:spacing w:after="60"/>
        <w:ind w:left="255"/>
      </w:pPr>
      <w:hyperlink w:anchor="sec_258">
        <w:r>
          <w:t>听神经鞘瘤与桥小脑角肿瘤</w:t>
        </w:r>
      </w:hyperlink>
      <w:r>
        <w:tab/>
      </w:r>
      <w:fldSimple w:instr="PAGEREF sec_258 \h">
        <w:r>
          <w:t>23</w:t>
        </w:r>
      </w:fldSimple>
    </w:p>
    <w:p>
      <w:pPr>
        <w:tabs>
          <w:tab w:pos="8787" w:val="right" w:leader="dot"/>
        </w:tabs>
        <w:spacing w:after="60"/>
        <w:ind w:left="255"/>
      </w:pPr>
      <w:hyperlink w:anchor="sec_311">
        <w:r>
          <w:t>后颅窝及脑干邻近病变</w:t>
        </w:r>
      </w:hyperlink>
      <w:r>
        <w:tab/>
      </w:r>
      <w:fldSimple w:instr="PAGEREF sec_311 \h">
        <w:r>
          <w:t>27</w:t>
        </w:r>
      </w:fldSimple>
    </w:p>
    <w:p>
      <w:pPr>
        <w:tabs>
          <w:tab w:pos="8787" w:val="right" w:leader="dot"/>
        </w:tabs>
        <w:spacing w:after="60"/>
      </w:pPr>
      <w:hyperlink w:anchor="sec_364">
        <w:r>
          <w:t>本模块专项规则与模拟临床病例</w:t>
        </w:r>
      </w:hyperlink>
      <w:r>
        <w:tab/>
      </w:r>
      <w:fldSimple w:instr="PAGEREF sec_364 \h">
        <w:r>
          <w:t>31</w:t>
        </w:r>
      </w:fldSimple>
    </w:p>
    <w:p>
      <w:pPr>
        <w:tabs>
          <w:tab w:pos="8787" w:val="right" w:leader="dot"/>
        </w:tabs>
        <w:spacing w:after="60"/>
        <w:ind w:left="255"/>
      </w:pPr>
      <w:hyperlink w:anchor="sec_365">
        <w:r>
          <w:t>虚构术后多尿案例</w:t>
        </w:r>
      </w:hyperlink>
      <w:r>
        <w:tab/>
      </w:r>
      <w:fldSimple w:instr="PAGEREF sec_365 \h">
        <w:r>
          <w:t>31</w:t>
        </w:r>
      </w:fldSimple>
    </w:p>
    <w:p>
      <w:pPr>
        <w:tabs>
          <w:tab w:pos="8787" w:val="right" w:leader="dot"/>
        </w:tabs>
        <w:spacing w:after="60"/>
        <w:ind w:left="255"/>
      </w:pPr>
      <w:hyperlink w:anchor="sec_367">
        <w:r>
          <w:t>病理与内分泌来源</w:t>
        </w:r>
      </w:hyperlink>
      <w:r>
        <w:tab/>
      </w:r>
      <w:fldSimple w:instr="PAGEREF sec_367 \h">
        <w:r>
          <w:t>31</w:t>
        </w:r>
      </w:fldSimple>
    </w:p>
    <w:p>
      <w:pPr>
        <w:tabs>
          <w:tab w:pos="8787" w:val="right" w:leader="dot"/>
        </w:tabs>
        <w:spacing w:after="60"/>
      </w:pPr>
      <w:hyperlink w:anchor="sec_369">
        <w:r>
          <w:t>事实边界与常见错误</w:t>
        </w:r>
      </w:hyperlink>
      <w:r>
        <w:tab/>
      </w:r>
      <w:fldSimple w:instr="PAGEREF sec_369 \h">
        <w:r>
          <w:t>31</w:t>
        </w:r>
      </w:fldSimple>
    </w:p>
    <w:p>
      <w:pPr>
        <w:tabs>
          <w:tab w:pos="8787" w:val="right" w:leader="dot"/>
        </w:tabs>
        <w:spacing w:after="60"/>
      </w:pPr>
      <w:hyperlink w:anchor="sec_372">
        <w:r>
          <w:t>模块联动与最终质控</w:t>
        </w:r>
      </w:hyperlink>
      <w:r>
        <w:tab/>
      </w:r>
      <w:fldSimple w:instr="PAGEREF sec_372 \h">
        <w:r>
          <w:t>32</w:t>
        </w:r>
      </w:fldSimple>
    </w:p>
    <w:p>
      <w:pPr>
        <w:tabs>
          <w:tab w:pos="8787" w:val="right" w:leader="dot"/>
        </w:tabs>
        <w:spacing w:after="60"/>
      </w:pPr>
      <w:hyperlink w:anchor="ref_section">
        <w:r>
          <w:t>参考指南及版本说明</w:t>
        </w:r>
      </w:hyperlink>
      <w:r>
        <w:tab/>
      </w:r>
      <w:fldSimple w:instr="PAGEREF ref_section \h">
        <w:r>
          <w:t>32</w:t>
        </w:r>
      </w:fldSimple>
    </w:p>
    <w:p>
      <w:r>
        <w:fldChar w:fldCharType="end"/>
      </w:r>
    </w:p>
    <w:p>
      <w:r>
        <w:br w:type="page"/>
      </w:r>
    </w:p>
    <w:p>
      <w:pPr>
        <w:pStyle w:val="Heading1"/>
      </w:pPr>
      <w:bookmarkStart w:id="100" w:name="sec_0"/>
      <w:r>
        <w:t>专病使用范围与最高约束</w:t>
      </w:r>
      <w:bookmarkEnd w:id="100"/>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t>所有专病正式输出遵守01的text代码框，题头在外、正文在内；日常与三级查房单段，无占位符。下面结构模板不是实际病历，须以本例资料替换；对医师意见和手术事实无来源时，不能凭本病知识补齐。专业知识用于提出待核问题和解释证据，不自动成为患者诊疗决定。</w:t>
      </w:r>
    </w:p>
    <w:p>
      <w:pPr>
        <w:pStyle w:val="Heading1"/>
      </w:pPr>
      <w:bookmarkStart w:id="103" w:name="sec_3"/>
      <w:r>
        <w:t>病种覆盖与差异化调用索引</w:t>
      </w:r>
      <w:bookmarkEnd w:id="103"/>
    </w:p>
    <w:p>
      <w:pPr>
        <w:pStyle w:val="Heading2"/>
      </w:pPr>
      <w:bookmarkStart w:id="104" w:name="sec_4"/>
      <w:r>
        <w:t>垂体腺瘤及相关垂体肿瘤</w:t>
      </w:r>
      <w:bookmarkEnd w:id="104"/>
    </w:p>
    <w:p>
      <w:r>
        <w:t>调用本模块“垂体肿瘤及功能性垂体病变”完整32项病种单元，并增加以下特异规则：沿用正式病理PitNET或腺瘤原称并标分类，不擅改报告。对于该变体的病程、查房、术前及出院模板，必须将上述差异作为本例需提取的独立证据字段，未提供不自动补阳性或阴性。</w:t>
      </w:r>
    </w:p>
    <w:p>
      <w:pPr>
        <w:pStyle w:val="Heading2"/>
      </w:pPr>
      <w:bookmarkStart w:id="106" w:name="sec_6"/>
      <w:r>
        <w:t>垂体大腺瘤</w:t>
      </w:r>
      <w:bookmarkEnd w:id="106"/>
    </w:p>
    <w:p>
      <w:r>
        <w:t>调用本模块“垂体肿瘤及功能性垂体病变”完整32项病种单元，并增加以下特异规则：实测径线、鞍上视交叉关系，不由大直接判侵袭。对于该变体的病程、查房、术前及出院模板，必须将上述差异作为本例需提取的独立证据字段，未提供不自动补阳性或阴性。</w:t>
      </w:r>
    </w:p>
    <w:p>
      <w:pPr>
        <w:pStyle w:val="Heading2"/>
      </w:pPr>
      <w:bookmarkStart w:id="108" w:name="sec_8"/>
      <w:r>
        <w:t>功能性垂体肿瘤</w:t>
      </w:r>
      <w:bookmarkEnd w:id="108"/>
    </w:p>
    <w:p>
      <w:r>
        <w:t>调用本模块“垂体肿瘤及功能性垂体病变”完整32项病种单元，并增加以下特异规则：激素轴标准与药物干扰，PRL升高要鉴柄效应。对于该变体的病程、查房、术前及出院模板，必须将上述差异作为本例需提取的独立证据字段，未提供不自动补阳性或阴性。</w:t>
      </w:r>
    </w:p>
    <w:p>
      <w:pPr>
        <w:pStyle w:val="Heading2"/>
      </w:pPr>
      <w:bookmarkStart w:id="110" w:name="sec_10"/>
      <w:r>
        <w:t>非功能性垂体肿瘤</w:t>
      </w:r>
      <w:bookmarkEnd w:id="110"/>
    </w:p>
    <w:p>
      <w:r>
        <w:t>调用本模块“垂体肿瘤及功能性垂体病变”完整32项病种单元，并增加以下特异规则：不能因未给激素结果就叫非功能。对于该变体的病程、查房、术前及出院模板，必须将上述差异作为本例需提取的独立证据字段，未提供不自动补阳性或阴性。</w:t>
      </w:r>
    </w:p>
    <w:p>
      <w:pPr>
        <w:pStyle w:val="Heading2"/>
      </w:pPr>
      <w:bookmarkStart w:id="112" w:name="sec_12"/>
      <w:r>
        <w:t>颅咽管瘤</w:t>
      </w:r>
      <w:bookmarkEnd w:id="112"/>
    </w:p>
    <w:p>
      <w:r>
        <w:t>调用本模块“颅咽管瘤与其他鞍区占位”完整32项病种单元，并增加以下特异规则：下丘脑柄和生长代谢长期风险。对于该变体的病程、查房、术前及出院模板，必须将上述差异作为本例需提取的独立证据字段，未提供不自动补阳性或阴性。</w:t>
      </w:r>
    </w:p>
    <w:p>
      <w:pPr>
        <w:pStyle w:val="Heading2"/>
      </w:pPr>
      <w:bookmarkStart w:id="114" w:name="sec_14"/>
      <w:r>
        <w:t>鞍区其他占位</w:t>
      </w:r>
      <w:bookmarkEnd w:id="114"/>
    </w:p>
    <w:p>
      <w:r>
        <w:t>调用本模块“颅咽管瘤与其他鞍区占位”完整32项病种单元，并增加以下特异规则：囊肿生殖细胞炎症等按证据鉴别。对于该变体的病程、查房、术前及出院模板，必须将上述差异作为本例需提取的独立证据字段，未提供不自动补阳性或阴性。</w:t>
      </w:r>
    </w:p>
    <w:p>
      <w:pPr>
        <w:pStyle w:val="Heading2"/>
      </w:pPr>
      <w:bookmarkStart w:id="116" w:name="sec_16"/>
      <w:r>
        <w:t>颅底脑膜瘤</w:t>
      </w:r>
      <w:bookmarkEnd w:id="116"/>
    </w:p>
    <w:p>
      <w:r>
        <w:t>调用本模块“颅底脑膜瘤及骨性软组织病变”完整32项病种单元，并增加以下特异规则：静脉窦颅神经血管包绕与实际残留。对于该变体的病程、查房、术前及出院模板，必须将上述差异作为本例需提取的独立证据字段，未提供不自动补阳性或阴性。</w:t>
      </w:r>
    </w:p>
    <w:p>
      <w:pPr>
        <w:pStyle w:val="Heading2"/>
      </w:pPr>
      <w:bookmarkStart w:id="118" w:name="sec_18"/>
      <w:r>
        <w:t>听神经鞘瘤</w:t>
      </w:r>
      <w:bookmarkEnd w:id="118"/>
    </w:p>
    <w:p>
      <w:r>
        <w:t>调用本模块“听神经鞘瘤与桥小脑角肿瘤”完整32项病种单元，并增加以下特异规则：术前听面神经基线不可省。对于该变体的病程、查房、术前及出院模板，必须将上述差异作为本例需提取的独立证据字段，未提供不自动补阳性或阴性。</w:t>
      </w:r>
    </w:p>
    <w:p>
      <w:pPr>
        <w:pStyle w:val="Heading2"/>
      </w:pPr>
      <w:bookmarkStart w:id="120" w:name="sec_20"/>
      <w:r>
        <w:t>桥小脑角肿瘤</w:t>
      </w:r>
      <w:bookmarkEnd w:id="120"/>
    </w:p>
    <w:p>
      <w:r>
        <w:t>调用本模块“听神经鞘瘤与桥小脑角肿瘤”完整32项病种单元，并增加以下特异规则：病理未出不能统一叫听神经瘤。对于该变体的病程、查房、术前及出院模板，必须将上述差异作为本例需提取的独立证据字段，未提供不自动补阳性或阴性。</w:t>
      </w:r>
    </w:p>
    <w:p>
      <w:pPr>
        <w:pStyle w:val="Heading2"/>
      </w:pPr>
      <w:bookmarkStart w:id="122" w:name="sec_22"/>
      <w:r>
        <w:t>后颅窝肿瘤</w:t>
      </w:r>
      <w:bookmarkEnd w:id="122"/>
    </w:p>
    <w:p>
      <w:r>
        <w:t>调用本模块“后颅窝及脑干邻近病变”完整32项病种单元，并增加以下特异规则：第四脑室和吞咽气道重点。对于该变体的病程、查房、术前及出院模板，必须将上述差异作为本例需提取的独立证据字段，未提供不自动补阳性或阴性。</w:t>
      </w:r>
    </w:p>
    <w:p>
      <w:pPr>
        <w:pStyle w:val="Heading2"/>
      </w:pPr>
      <w:bookmarkStart w:id="124" w:name="sec_24"/>
      <w:r>
        <w:t>脑干邻近肿瘤</w:t>
      </w:r>
      <w:bookmarkEnd w:id="124"/>
    </w:p>
    <w:p>
      <w:r>
        <w:t>调用本模块“后颅窝及脑干邻近病变”完整32项病种单元，并增加以下特异规则：脑干界面和长束颅神经定位，不保证可全切。对于该变体的病程、查房、术前及出院模板，必须将上述差异作为本例需提取的独立证据字段，未提供不自动补阳性或阴性。</w:t>
      </w:r>
    </w:p>
    <w:p>
      <w:pPr>
        <w:pStyle w:val="Heading2"/>
      </w:pPr>
      <w:bookmarkStart w:id="126" w:name="sec_26"/>
      <w:r>
        <w:t>颅底骨性或软组织病变</w:t>
      </w:r>
      <w:bookmarkEnd w:id="126"/>
    </w:p>
    <w:p>
      <w:r>
        <w:t>调用本模块“颅底脑膜瘤及骨性软组织病变”完整32项病种单元，并增加以下特异规则：CT骨破坏与MRI关系和组织病原证据。对于该变体的病程、查房、术前及出院模板，必须将上述差异作为本例需提取的独立证据字段，未提供不自动补阳性或阴性。</w:t>
      </w:r>
    </w:p>
    <w:p>
      <w:pPr>
        <w:pStyle w:val="Heading2"/>
      </w:pPr>
      <w:bookmarkStart w:id="128" w:name="sec_28"/>
      <w:r>
        <w:t>颅底脑脊液漏</w:t>
      </w:r>
      <w:bookmarkEnd w:id="128"/>
    </w:p>
    <w:p>
      <w:r>
        <w:t>调用本模块“颅底脑膜瘤及骨性软组织病变”完整32项病种单元，并增加以下特异规则：鼻耳漏来源、必要检测及重建，清液不自动确诊。对于该变体的病程、查房、术前及出院模板，必须将上述差异作为本例需提取的独立证据字段，未提供不自动补阳性或阴性。</w:t>
      </w:r>
    </w:p>
    <w:p>
      <w:pPr>
        <w:pStyle w:val="Heading2"/>
      </w:pPr>
      <w:bookmarkStart w:id="130" w:name="sec_30"/>
      <w:r>
        <w:t>经鼻蝶手术</w:t>
      </w:r>
      <w:bookmarkEnd w:id="130"/>
    </w:p>
    <w:p>
      <w:r>
        <w:t>调用本模块“垂体肿瘤及功能性垂体病变”完整32项病种单元，并增加以下特异规则：术中漏和修复实际记录、鼻腔与内分泌联动。对于该变体的病程、查房、术前及出院模板，必须将上述差异作为本例需提取的独立证据字段，未提供不自动补阳性或阴性。</w:t>
      </w:r>
    </w:p>
    <w:p>
      <w:pPr>
        <w:pStyle w:val="Heading2"/>
      </w:pPr>
      <w:bookmarkStart w:id="132" w:name="sec_32"/>
      <w:r>
        <w:t>内镜颅底手术</w:t>
      </w:r>
      <w:bookmarkEnd w:id="132"/>
    </w:p>
    <w:p>
      <w:r>
        <w:t>调用本模块“颅底脑膜瘤及骨性软组织病变”完整32项病种单元，并增加以下特异规则：内镜及重建材料必须有使用来源。对于该变体的病程、查房、术前及出院模板，必须将上述差异作为本例需提取的独立证据字段，未提供不自动补阳性或阴性。</w:t>
      </w:r>
    </w:p>
    <w:p>
      <w:pPr>
        <w:pStyle w:val="Heading2"/>
      </w:pPr>
      <w:bookmarkStart w:id="134" w:name="sec_34"/>
      <w:r>
        <w:t>颅底重建</w:t>
      </w:r>
      <w:bookmarkEnd w:id="134"/>
    </w:p>
    <w:p>
      <w:r>
        <w:t>调用本模块“颅底脑膜瘤及骨性软组织病变”完整32项病种单元，并增加以下特异规则：实际材料层次与术后漏分开，不能标准步骤补修复。对于该变体的病程、查房、术前及出院模板，必须将上述差异作为本例需提取的独立证据字段，未提供不自动补阳性或阴性。</w:t>
      </w:r>
    </w:p>
    <w:p>
      <w:pPr>
        <w:pStyle w:val="Heading2"/>
      </w:pPr>
      <w:bookmarkStart w:id="136" w:name="sec_36"/>
      <w:r>
        <w:t>垂体术后水钠紊乱</w:t>
      </w:r>
      <w:bookmarkEnd w:id="136"/>
    </w:p>
    <w:p>
      <w:r>
        <w:t>调用本模块“垂体术后水钠与激素异常”完整32项病种单元，并增加以下特异规则：时段尿量、血尿渗透、钠和实际补液药物。对于该变体的病程、查房、术前及出院模板，必须将上述差异作为本例需提取的独立证据字段，未提供不自动补阳性或阴性。</w:t>
      </w:r>
    </w:p>
    <w:p>
      <w:pPr>
        <w:pStyle w:val="Heading2"/>
      </w:pPr>
      <w:bookmarkStart w:id="138" w:name="sec_38"/>
      <w:r>
        <w:t>垂体术后激素缺乏</w:t>
      </w:r>
      <w:bookmarkEnd w:id="138"/>
    </w:p>
    <w:p>
      <w:r>
        <w:t>调用本模块“垂体术后水钠与激素异常”完整32项病种单元，并增加以下特异规则：轴检查及外源激素影响，不能正常TSH排中枢甲减。对于该变体的病程、查房、术前及出院模板，必须将上述差异作为本例需提取的独立证据字段，未提供不自动补阳性或阴性。</w:t>
      </w:r>
    </w:p>
    <w:p>
      <w:pPr>
        <w:pStyle w:val="Heading2"/>
      </w:pPr>
      <w:bookmarkStart w:id="140" w:name="sec_40"/>
      <w:r>
        <w:t>视功能颅神经障碍</w:t>
      </w:r>
      <w:bookmarkEnd w:id="140"/>
    </w:p>
    <w:p>
      <w:r>
        <w:t>调用本模块“垂体肿瘤及功能性垂体病变”完整32项病种单元，并增加以下特异规则：视觉与颅神经当次实测，不继承术前正常。对于该变体的病程、查房、术前及出院模板，必须将上述差异作为本例需提取的独立证据字段，未提供不自动补阳性或阴性。</w:t>
      </w:r>
    </w:p>
    <w:p>
      <w:pPr>
        <w:pStyle w:val="Heading2"/>
      </w:pPr>
      <w:bookmarkStart w:id="142" w:name="sec_42"/>
      <w:r>
        <w:t>复杂颅底术后管理</w:t>
      </w:r>
      <w:bookmarkEnd w:id="142"/>
    </w:p>
    <w:p>
      <w:r>
        <w:t>调用本模块“后颅窝及脑干邻近病变”完整32项病种单元，并增加以下特异规则：气道吞咽CSF及多神经问题逐项留证据。对于该变体的病程、查房、术前及出院模板，必须将上述差异作为本例需提取的独立证据字段，未提供不自动补阳性或阴性。</w:t>
      </w:r>
    </w:p>
    <w:p>
      <w:pPr>
        <w:pStyle w:val="Heading1"/>
      </w:pPr>
      <w:bookmarkStart w:id="144" w:name="sec_44"/>
      <w:r>
        <w:t>重要病种完整32项临床与文书单元</w:t>
      </w:r>
      <w:bookmarkEnd w:id="144"/>
    </w:p>
    <w:p>
      <w:pPr>
        <w:pStyle w:val="Heading2"/>
      </w:pPr>
      <w:bookmarkStart w:id="145" w:name="sec_45"/>
      <w:r>
        <w:t>垂体肿瘤及功能性垂体病变</w:t>
      </w:r>
      <w:bookmarkEnd w:id="145"/>
    </w:p>
    <w:p>
      <w:r>
        <w:t>01 疾病定义：鞍内垂体来源病变，组织可用PitNET等正式命名，激素功能与组织各自证据。</w:t>
      </w:r>
    </w:p>
    <w:p>
      <w:r>
        <w:t>02 病因及发病机制：激素分泌或局部生长压迫，泌乳素升高也可能为柄效应或药物。</w:t>
      </w:r>
    </w:p>
    <w:p>
      <w:r>
        <w:t>03 临床表现：视力视野、头痛眼动及不同激素过多或缺乏表现。</w:t>
      </w:r>
    </w:p>
    <w:p>
      <w:r>
        <w:t>04 病史采集重点：病程视症月经性功能代谢药物及既往激素、手术放疗。</w:t>
      </w:r>
    </w:p>
    <w:p>
      <w:r>
        <w:t>05 神经系统专科检查：视力视野眼底眼动颅神经和体能，非实查不能写正常。</w:t>
      </w:r>
    </w:p>
    <w:p>
      <w:r>
        <w:t>06 神经定位诊断：鞍内鞍上、视交叉海绵窦颈内动脉垂体柄。</w:t>
      </w:r>
    </w:p>
    <w:p>
      <w:r>
        <w:t>07 定性诊断：激素功能、MRI和组织分层；大腺瘤不能自动为非功能。影像、临床、术中和病理确定度分别表述。。</w:t>
      </w:r>
    </w:p>
    <w:p>
      <w:r>
        <w:t>08 实验室检查：各垂体轴与采样时点、用药、血钠血尿渗透和肾功能。</w:t>
      </w:r>
    </w:p>
    <w:p>
      <w:r>
        <w:t>09 影像检查：垂体增强MRI大小鞍上延伸海绵窦与出血，CT按鼻颅底需要。</w:t>
      </w:r>
    </w:p>
    <w:p>
      <w:r>
        <w:t>10 诊断标准：激素功能、MRI和组织分层；大腺瘤不能自动为非功能。只采用已核验且适用本例的标准，未满足必要项保留待定。。</w:t>
      </w:r>
    </w:p>
    <w:p>
      <w:r>
        <w:t>11 诊断依据：逐项对应本例病程视症月经性功能代谢药物及既往激素、手术放疗、视力视野眼底眼动颅神经和体能，非实查不能写正常与垂体增强MRI大小鞍上延伸海绵窦与出血，CT按鼻颅底需要的实际资料；推理不能替代缺失检查。。</w:t>
      </w:r>
    </w:p>
    <w:p>
      <w:r>
        <w:t>12 鉴别诊断：颅咽管瘤Rathke囊肿脑膜瘤、柄效应及非肿瘤激素异常。</w:t>
      </w:r>
    </w:p>
    <w:p>
      <w:r>
        <w:t>13 分型分级与危险程度：宏观大小和Knosp等需真实变量；功能型由合适内分泌标准。</w:t>
      </w:r>
    </w:p>
    <w:p>
      <w:r>
        <w:t>14 保守治疗原则：不同功能类型药物与观察不同，泌乳素瘤可考虑药物策略，不自动手术。</w:t>
      </w:r>
    </w:p>
    <w:p>
      <w:r>
        <w:t>15 手术适应性评估：视路压迫、激素控制、药物反应和并发急症及个体风险。</w:t>
      </w:r>
    </w:p>
    <w:p>
      <w:r>
        <w:t>16 常见术式：经鼻蝶内镜或其他入路按实际选择，不默认所有鞍区同术式。实际方式以术者记录为准。。</w:t>
      </w:r>
    </w:p>
    <w:p>
      <w:r>
        <w:t>17 术前风险：视功能、颈内动脉损伤、CSF漏及多轴缺陷。</w:t>
      </w:r>
    </w:p>
    <w:p>
      <w:r>
        <w:t>18 术后监测：视力眼动鼻漏、分时尿量血钠渗透及激素执行。</w:t>
      </w:r>
    </w:p>
    <w:p>
      <w:r>
        <w:t>19 并发症：水钠紊乱、肾上腺不足、CSF漏脑膜炎及视损伤。</w:t>
      </w:r>
    </w:p>
    <w:p>
      <w:r>
        <w:t>20 首次病程模板</w:t>
      </w:r>
    </w:p>
    <w:p>
      <w:r>
        <w:t>以下结构模板中的变量只允许用本例真实资料替换；本文件各模板均遵守此规则，正式输出前删除全部未填变量。</w:t>
      </w:r>
    </w:p>
    <w:p>
      <w:pPr>
        <w:keepNext/>
      </w:pPr>
      <w:r>
        <w:t>【记录日期时间】 首次病程记录</w:t>
      </w:r>
    </w:p>
    <w:p>
      <w:pPr>
        <w:pStyle w:val="MedicalCode"/>
        <w:keepNext/>
        <w:keepLines w:val="0"/>
      </w:pPr>
      <w:r>
        <w:t>```text</w:t>
      </w:r>
    </w:p>
    <w:p>
      <w:pPr>
        <w:pStyle w:val="MedicalCode"/>
        <w:keepLines w:val="0"/>
      </w:pPr>
      <w:r>
        <w:t>病例特点：【本次病程视症月经性功能代谢药物及既往激素、手术放疗的真实内容】；查体【视力视野眼底眼动颅神经和体能，非实查不能写正常的实查与时间】；检查【垂体增强MRI大小鞍上延伸海绵窦与出血，CT按鼻颅底需要的实际结果】。</w:t>
      </w:r>
    </w:p>
    <w:p>
      <w:pPr>
        <w:pStyle w:val="MedicalCode"/>
        <w:keepLines w:val="0"/>
      </w:pPr>
      <w:r>
        <w:t>初步诊断：【本例支持的垂体肿瘤及功能性垂体病变或待查诊断与程度】</w:t>
      </w:r>
    </w:p>
    <w:p>
      <w:pPr>
        <w:pStyle w:val="MedicalCode"/>
        <w:keepLines w:val="0"/>
      </w:pPr>
      <w:r>
        <w:t>诊断依据：【实际症状体征及检查对应】</w:t>
      </w:r>
    </w:p>
    <w:p>
      <w:pPr>
        <w:pStyle w:val="MedicalCode"/>
        <w:keepLines w:val="0"/>
      </w:pPr>
      <w:r>
        <w:t>鉴别诊断：【围绕颅咽管瘤Rathke囊肿脑膜瘤、柄效应及非肿瘤激素异常的本例支持反对及缺项】</w:t>
      </w:r>
    </w:p>
    <w:p>
      <w:pPr>
        <w:pStyle w:val="MedicalCode"/>
        <w:keepLines w:val="0"/>
      </w:pPr>
      <w:r>
        <w:t>诊疗计划：【针对视路压迫、激素控制、药物反应和并发急症及个体风险的实际评估、治疗和复查计划】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视力眼动鼻漏、分时尿量血钠渗透及激素执行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视力眼动鼻漏、分时尿量血钠渗透及激素执行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鞍内鞍上、视交叉海绵窦颈内动脉垂体柄的本例证据】及【水钠紊乱、肾上腺不足、CSF漏脑膜炎及视损伤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视路压迫、激素控制、药物反应和并发急症及个体风险的个体获益风险】和【内分泌视功能和MRI、残留复发及替代治疗责任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简要病情与术前诊断：【支持程度和鞍内鞍上、视交叉海绵窦颈内动脉垂体柄对应事实】</w:t>
      </w:r>
    </w:p>
    <w:p>
      <w:pPr>
        <w:pStyle w:val="MedicalCode"/>
        <w:keepLines w:val="0"/>
      </w:pPr>
      <w:r>
        <w:t>适应性与目标：【本例视路压迫、激素控制、药物反应和并发急症及个体风险评估结论】</w:t>
      </w:r>
    </w:p>
    <w:p>
      <w:pPr>
        <w:pStyle w:val="MedicalCode"/>
        <w:keepLines w:val="0"/>
      </w:pPr>
      <w:r>
        <w:t>拟行方案：【医师已决定术式及麻醉】</w:t>
      </w:r>
    </w:p>
    <w:p>
      <w:pPr>
        <w:pStyle w:val="MedicalCode"/>
        <w:keepLines w:val="0"/>
      </w:pPr>
      <w:r>
        <w:t>风险与准备：【视功能、颈内动脉损伤、CSF漏及多轴缺陷相关个体风险、实际准备与缺项】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视力眼动鼻漏、分时尿量血钠渗透及激素执行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水钠紊乱、肾上腺不足、CSF漏脑膜炎及视损伤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入院情况：【实际症状、鞍内鞍上、视交叉海绵窦颈内动脉垂体柄相关查体及检查】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出院安排：【内分泌视功能和MRI、残留复发及替代治疗责任对应实际决定】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本病随访：【针对内分泌视功能和MRI、残留复发及替代治疗责任的实际时间科室项目】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长期随访：内分泌视功能和MRI、残留复发及替代治疗责任。每次记录实际随访日期、方式、来源、功能及检查，失访不能当无复发。</w:t>
      </w:r>
    </w:p>
    <w:p>
      <w:r>
        <w:t>31 最终质控：核本病解剖和责任病灶、真实神经查体、宏观大小和Knosp等需真实变量；功能型由合适内分泌标准的变量来源；检查视功能、颈内动脉损伤、CSF漏及多轴缺陷相关实际状态，禁止将风险写为已发生并发症。术前未手术不套术后模板，10终审。</w:t>
      </w:r>
    </w:p>
    <w:p>
      <w:r>
        <w:t>32 参考指南及版本：[N01] Central Nervous System Tumours WHO Classification Fifth Edition Volume 6，2021，WHO Classification of Tumours Editorial Board IARC；[S01] Hormone Replacement in Hypopituitarism in Adults，2016，Endocrine Society；[S02] Diagnosis and Management of Prolactin Secreting Pituitary Adenomas International Consensus，2023，Pituitary Society。核验日期2026年10月26日；适用范围与全文访问限制见本文件参考指南说明。</w:t>
      </w:r>
    </w:p>
    <w:p>
      <w:pPr>
        <w:pStyle w:val="Heading2"/>
      </w:pPr>
      <w:bookmarkStart w:id="199" w:name="sec_99"/>
      <w:r>
        <w:t>垂体术后水钠与激素异常</w:t>
      </w:r>
      <w:bookmarkEnd w:id="199"/>
    </w:p>
    <w:p>
      <w:r>
        <w:t>01 疾病定义：垂体手术后水代谢及前后叶功能改变的并发问题。</w:t>
      </w:r>
    </w:p>
    <w:p>
      <w:r>
        <w:t>02 病因及发病机制：AVP缺乏、抗利尿阶段、容量丢失肾上腺不足或溶质性利尿等。</w:t>
      </w:r>
    </w:p>
    <w:p>
      <w:r>
        <w:t>03 临床表现：多尿口渴、低钠相关意识恶化或循环问题，表现可多阶段。</w:t>
      </w:r>
    </w:p>
    <w:p>
      <w:r>
        <w:t>04 病史采集重点：手术日尿量时段、补液饮水、脱水药激素和去氨加压素实际执行。</w:t>
      </w:r>
    </w:p>
    <w:p>
      <w:r>
        <w:t>05 神经系统专科检查：意识瞳孔、容量循环、体重和可获得脱水体征。</w:t>
      </w:r>
    </w:p>
    <w:p>
      <w:r>
        <w:t>06 神经定位诊断：下丘脑垂体柄与后叶及轴功能，不凭多尿定具体损伤。</w:t>
      </w:r>
    </w:p>
    <w:p>
      <w:r>
        <w:t>07 定性诊断：分时多尿与低渗尿、血钠容量激素等综合，排溶质利尿；缺数据保留待查。影像、临床、术中和病理确定度分别表述。。</w:t>
      </w:r>
    </w:p>
    <w:p>
      <w:r>
        <w:t>08 实验室检查：连续血钠血尿渗透、尿比重血糖肾功能和皮质醇相关轴。</w:t>
      </w:r>
    </w:p>
    <w:p>
      <w:r>
        <w:t>09 影像检查：鞍区术后影像仅解释结构，不能代替水代谢诊断。</w:t>
      </w:r>
    </w:p>
    <w:p>
      <w:r>
        <w:t>10 诊断标准：分时多尿与低渗尿、血钠容量激素等综合，排溶质利尿；缺数据保留待查。只采用已核验且适用本例的标准，未满足必要项保留待定。。</w:t>
      </w:r>
    </w:p>
    <w:p>
      <w:r>
        <w:t>11 诊断依据：逐项对应本例手术日尿量时段、补液饮水、脱水药激素和去氨加压素实际执行、意识瞳孔、容量循环、体重和可获得脱水体征与鞍区术后影像仅解释结构，不能代替水代谢诊断的实际资料；推理不能替代缺失检查。。</w:t>
      </w:r>
    </w:p>
    <w:p>
      <w:r>
        <w:t>12 鉴别诊断：AVP缺乏、SIADH、盐耗、肾上腺不足、补液或药物影响。</w:t>
      </w:r>
    </w:p>
    <w:p>
      <w:r>
        <w:t>13 分型分级与危险程度：严重程度按真实钠趋势神经症状与循环，不自动用统一阈值。</w:t>
      </w:r>
    </w:p>
    <w:p>
      <w:r>
        <w:t>14 保守治疗原则：紧急评估症状性异常，具体补液激素限水或其他治疗由医师核实。</w:t>
      </w:r>
    </w:p>
    <w:p>
      <w:r>
        <w:t>15 手术适应性评估：主要为内分泌重症协作；如同时血肿压迫等另评手术。</w:t>
      </w:r>
    </w:p>
    <w:p>
      <w:r>
        <w:t>16 常见术式：不因多尿自动再次手术；CSF或出血操作按独立适应性。实际方式以术者记录为准。。</w:t>
      </w:r>
    </w:p>
    <w:p>
      <w:r>
        <w:t>17 术前风险：过快或不足纠正、低钠与高钠交替、肾上腺危象。</w:t>
      </w:r>
    </w:p>
    <w:p>
      <w:r>
        <w:t>18 术后监测：时段尿量出入量体重血钠与药物执行响应。</w:t>
      </w:r>
    </w:p>
    <w:p>
      <w:r>
        <w:t>19 并发症：意识恶化、容量异常、严重电解质及激素危象。</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手术日尿量时段、补液饮水、脱水药激素和去氨加压素实际执行的真实内容】；查体【意识瞳孔、容量循环、体重和可获得脱水体征的实查与时间】；检查【鞍区术后影像仅解释结构，不能代替水代谢诊断的实际结果】。</w:t>
      </w:r>
    </w:p>
    <w:p>
      <w:pPr>
        <w:pStyle w:val="MedicalCode"/>
        <w:keepLines w:val="0"/>
      </w:pPr>
      <w:r>
        <w:t>初步诊断：【本例支持的垂体术后水钠与激素异常或待查诊断与程度】</w:t>
      </w:r>
    </w:p>
    <w:p>
      <w:pPr>
        <w:pStyle w:val="MedicalCode"/>
        <w:keepLines w:val="0"/>
      </w:pPr>
      <w:r>
        <w:t>诊断依据：【实际症状体征及检查对应】</w:t>
      </w:r>
    </w:p>
    <w:p>
      <w:pPr>
        <w:pStyle w:val="MedicalCode"/>
        <w:keepLines w:val="0"/>
      </w:pPr>
      <w:r>
        <w:t>鉴别诊断：【围绕AVP缺乏、SIADH、盐耗、肾上腺不足、补液或药物影响的本例支持反对及缺项】</w:t>
      </w:r>
    </w:p>
    <w:p>
      <w:pPr>
        <w:pStyle w:val="MedicalCode"/>
        <w:keepLines w:val="0"/>
      </w:pPr>
      <w:r>
        <w:t>诊疗计划：【针对主要为内分泌重症协作；如同时血肿压迫等另评手术的实际评估、治疗和复查计划】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时段尿量出入量体重血钠与药物执行响应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时段尿量出入量体重血钠与药物执行响应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下丘脑垂体柄与后叶及轴功能，不凭多尿定具体损伤的本例证据】及【意识恶化、容量异常、严重电解质及激素危象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主要为内分泌重症协作；如同时血肿压迫等另评手术的个体获益风险】和【出院延迟水钠风险、复查与激素调整责任，不擅停药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简要病情与术前诊断：【支持程度和下丘脑垂体柄与后叶及轴功能，不凭多尿定具体损伤对应事实】</w:t>
      </w:r>
    </w:p>
    <w:p>
      <w:pPr>
        <w:pStyle w:val="MedicalCode"/>
        <w:keepLines w:val="0"/>
      </w:pPr>
      <w:r>
        <w:t>适应性与目标：【本例主要为内分泌重症协作；如同时血肿压迫等另评手术评估结论】</w:t>
      </w:r>
    </w:p>
    <w:p>
      <w:pPr>
        <w:pStyle w:val="MedicalCode"/>
        <w:keepLines w:val="0"/>
      </w:pPr>
      <w:r>
        <w:t>拟行方案：【医师已决定术式及麻醉】</w:t>
      </w:r>
    </w:p>
    <w:p>
      <w:pPr>
        <w:pStyle w:val="MedicalCode"/>
        <w:keepLines w:val="0"/>
      </w:pPr>
      <w:r>
        <w:t>风险与准备：【过快或不足纠正、低钠与高钠交替、肾上腺危象相关个体风险、实际准备与缺项】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时段尿量出入量体重血钠与药物执行响应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意识恶化、容量异常、严重电解质及激素危象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入院情况：【实际症状、下丘脑垂体柄与后叶及轴功能，不凭多尿定具体损伤相关查体及检查】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出院安排：【出院延迟水钠风险、复查与激素调整责任，不擅停药对应实际决定】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本病随访：【针对出院延迟水钠风险、复查与激素调整责任，不擅停药的实际时间科室项目】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长期随访：出院延迟水钠风险、复查与激素调整责任，不擅停药。每次记录实际随访日期、方式、来源、功能及检查，失访不能当无复发。</w:t>
      </w:r>
    </w:p>
    <w:p>
      <w:r>
        <w:t>31 最终质控：核本病解剖和责任病灶、真实神经查体、严重程度按真实钠趋势神经症状与循环，不自动用统一阈值的变量来源；检查过快或不足纠正、低钠与高钠交替、肾上腺危象相关实际状态，禁止将风险写为已发生并发症。术前未手术不套术后模板，10终审。</w:t>
      </w:r>
    </w:p>
    <w:p>
      <w:r>
        <w:t>32 参考指南及版本：[S01] Hormone Replacement in Hypopituitarism in Adults，2016，Endocrine Society；[H01] 神经外科重症患者脑脊液外引流管理专家共识 2026版，2026，中华医学会神经外科学分会 中国神经外科重症管理协作组。核验日期2026年10月26日；适用范围与全文访问限制见本文件参考指南说明。</w:t>
      </w:r>
    </w:p>
    <w:p>
      <w:pPr>
        <w:pStyle w:val="Heading2"/>
      </w:pPr>
      <w:bookmarkStart w:id="252" w:name="sec_152"/>
      <w:r>
        <w:t>颅咽管瘤与其他鞍区占位</w:t>
      </w:r>
      <w:bookmarkEnd w:id="252"/>
    </w:p>
    <w:p>
      <w:r>
        <w:t>01 疾病定义：鞍上鞍内多种实体，颅咽管瘤需影像组织分型支持。</w:t>
      </w:r>
    </w:p>
    <w:p>
      <w:r>
        <w:t>02 病因及发病机制：囊实生长与视路下丘脑垂体柄受累，具体亚型看病理。</w:t>
      </w:r>
    </w:p>
    <w:p>
      <w:r>
        <w:t>03 临床表现：视障头痛生长发育肥胖或激素异常及脑积水。</w:t>
      </w:r>
    </w:p>
    <w:p>
      <w:r>
        <w:t>04 病史采集重点：视力体重生长发育、内分泌和既往治疗。</w:t>
      </w:r>
    </w:p>
    <w:p>
      <w:r>
        <w:t>05 神经系统专科检查：视野眼动、认知行为体温食欲与激素表现。</w:t>
      </w:r>
    </w:p>
    <w:p>
      <w:r>
        <w:t>06 神经定位诊断：视交叉垂体柄下丘脑第三脑室和大血管。</w:t>
      </w:r>
    </w:p>
    <w:p>
      <w:r>
        <w:t>07 定性诊断：性质由组织整合，不以钙化或囊性直接确诊。影像、临床、术中和病理确定度分别表述。。</w:t>
      </w:r>
    </w:p>
    <w:p>
      <w:r>
        <w:t>08 实验室检查：各轴、血钠渗透及代谢，儿童按年龄范围。</w:t>
      </w:r>
    </w:p>
    <w:p>
      <w:r>
        <w:t>09 影像检查：增强MRI囊实成分、CT钙化及第三脑室关系。</w:t>
      </w:r>
    </w:p>
    <w:p>
      <w:r>
        <w:t>10 诊断标准：性质由组织整合，不以钙化或囊性直接确诊。只采用已核验且适用本例的标准，未满足必要项保留待定。。</w:t>
      </w:r>
    </w:p>
    <w:p>
      <w:r>
        <w:t>11 诊断依据：逐项对应本例视力体重生长发育、内分泌和既往治疗、视野眼动、认知行为体温食欲与激素表现与增强MRI囊实成分、CT钙化及第三脑室关系的实际资料；推理不能替代缺失检查。。</w:t>
      </w:r>
    </w:p>
    <w:p>
      <w:r>
        <w:t>12 鉴别诊断：垂体瘤Rathke囊肿生殖细胞肿瘤和视路胶质瘤。</w:t>
      </w:r>
    </w:p>
    <w:p>
      <w:r>
        <w:t>13 分型分级与危险程度：亚型按病理，不由年龄或影像填分子。</w:t>
      </w:r>
    </w:p>
    <w:p>
      <w:r>
        <w:t>14 保守治疗原则：激素替代和CSF支持、综合方案权衡，限制下丘脑损伤。</w:t>
      </w:r>
    </w:p>
    <w:p>
      <w:r>
        <w:t>15 手术适应性评估：压迫、囊实位置功能、下丘脑保护与后续放疗替代。</w:t>
      </w:r>
    </w:p>
    <w:p>
      <w:r>
        <w:t>16 常见术式：经鼻或开颅等切除/囊处理和CSF手术按实际。实际方式以术者记录为准。。</w:t>
      </w:r>
    </w:p>
    <w:p>
      <w:r>
        <w:t>17 术前风险：永久激素缺陷、下丘脑损伤、视损伤和血管风险。</w:t>
      </w:r>
    </w:p>
    <w:p>
      <w:r>
        <w:t>18 术后监测：水钠意识食欲体温、视觉内分泌和脑积水。</w:t>
      </w:r>
    </w:p>
    <w:p>
      <w:r>
        <w:t>19 并发症：尿崩低钠肥胖、视损伤、CSF漏和复发。</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病例特点：【本次视力体重生长发育、内分泌和既往治疗的真实内容】；查体【视野眼动、认知行为体温食欲与激素表现的实查与时间】；检查【增强MRI囊实成分、CT钙化及第三脑室关系的实际结果】。</w:t>
      </w:r>
    </w:p>
    <w:p>
      <w:pPr>
        <w:pStyle w:val="MedicalCode"/>
        <w:keepLines w:val="0"/>
      </w:pPr>
      <w:r>
        <w:t>初步诊断：【本例支持的颅咽管瘤与其他鞍区占位或待查诊断与程度】</w:t>
      </w:r>
    </w:p>
    <w:p>
      <w:pPr>
        <w:pStyle w:val="MedicalCode"/>
        <w:keepLines w:val="0"/>
      </w:pPr>
      <w:r>
        <w:t>诊断依据：【实际症状体征及检查对应】</w:t>
      </w:r>
    </w:p>
    <w:p>
      <w:pPr>
        <w:pStyle w:val="MedicalCode"/>
        <w:keepLines w:val="0"/>
      </w:pPr>
      <w:r>
        <w:t>鉴别诊断：【围绕垂体瘤Rathke囊肿生殖细胞肿瘤和视路胶质瘤的本例支持反对及缺项】</w:t>
      </w:r>
    </w:p>
    <w:p>
      <w:pPr>
        <w:pStyle w:val="MedicalCode"/>
        <w:keepLines w:val="0"/>
      </w:pPr>
      <w:r>
        <w:t>诊疗计划：【针对压迫、囊实位置功能、下丘脑保护与后续放疗替代的实际评估、治疗和复查计划】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水钠意识食欲体温、视觉内分泌和脑积水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水钠意识食欲体温、视觉内分泌和脑积水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视交叉垂体柄下丘脑第三脑室和大血管的本例证据】及【尿崩低钠肥胖、视损伤、CSF漏和复发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压迫、囊实位置功能、下丘脑保护与后续放疗替代的个体获益风险】和【长期生长代谢认知视力及内分泌和肿瘤随访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简要病情与术前诊断：【支持程度和视交叉垂体柄下丘脑第三脑室和大血管对应事实】</w:t>
      </w:r>
    </w:p>
    <w:p>
      <w:pPr>
        <w:pStyle w:val="MedicalCode"/>
        <w:keepLines w:val="0"/>
      </w:pPr>
      <w:r>
        <w:t>适应性与目标：【本例压迫、囊实位置功能、下丘脑保护与后续放疗替代评估结论】</w:t>
      </w:r>
    </w:p>
    <w:p>
      <w:pPr>
        <w:pStyle w:val="MedicalCode"/>
        <w:keepLines w:val="0"/>
      </w:pPr>
      <w:r>
        <w:t>拟行方案：【医师已决定术式及麻醉】</w:t>
      </w:r>
    </w:p>
    <w:p>
      <w:pPr>
        <w:pStyle w:val="MedicalCode"/>
        <w:keepLines w:val="0"/>
      </w:pPr>
      <w:r>
        <w:t>风险与准备：【永久激素缺陷、下丘脑损伤、视损伤和血管风险相关个体风险、实际准备与缺项】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水钠意识食欲体温、视觉内分泌和脑积水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尿崩低钠肥胖、视损伤、CSF漏和复发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入院情况：【实际症状、视交叉垂体柄下丘脑第三脑室和大血管相关查体及检查】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出院安排：【长期生长代谢认知视力及内分泌和肿瘤随访对应实际决定】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本病随访：【针对长期生长代谢认知视力及内分泌和肿瘤随访的实际时间科室项目】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长期随访：长期生长代谢认知视力及内分泌和肿瘤随访。每次记录实际随访日期、方式、来源、功能及检查，失访不能当无复发。</w:t>
      </w:r>
    </w:p>
    <w:p>
      <w:r>
        <w:t>31 最终质控：核本病解剖和责任病灶、真实神经查体、亚型按病理，不由年龄或影像填分子的变量来源；检查永久激素缺陷、下丘脑损伤、视损伤和血管风险相关实际状态，禁止将风险写为已发生并发症。术前未手术不套术后模板，10终审。</w:t>
      </w:r>
    </w:p>
    <w:p>
      <w:r>
        <w:t>32 参考指南及版本：[N01] Central Nervous System Tumours WHO Classification Fifth Edition Volume 6，2021，WHO Classification of Tumours Editorial Board IARC；[S01] Hormone Replacement in Hypopituitarism in Adults，2016，Endocrine Society；[P01] Pediatric Hydrocephalus Guidelines 2014 with 2020 Update，2014/2020，Congress of Neurological Surgeons Pediatric Section。核验日期2026年10月26日；适用范围与全文访问限制见本文件参考指南说明。</w:t>
      </w:r>
    </w:p>
    <w:p>
      <w:pPr>
        <w:pStyle w:val="Heading2"/>
      </w:pPr>
      <w:bookmarkStart w:id="305" w:name="sec_205"/>
      <w:r>
        <w:t>颅底脑膜瘤及骨性软组织病变</w:t>
      </w:r>
      <w:bookmarkEnd w:id="305"/>
    </w:p>
    <w:p>
      <w:r>
        <w:t>01 疾病定义：颅底分区病变，可能跨硬膜骨及鼻窦孔道。</w:t>
      </w:r>
    </w:p>
    <w:p>
      <w:r>
        <w:t>02 病因及发病机制：肿瘤或其他骨性炎症等机制，不能按占位默认脑膜瘤。</w:t>
      </w:r>
    </w:p>
    <w:p>
      <w:r>
        <w:t>03 临床表现：多颅神经、视听嗅或吞咽症状及血管压迫。</w:t>
      </w:r>
    </w:p>
    <w:p>
      <w:r>
        <w:t>04 病史采集重点：颅神经顺序、鼻窦及既往手术放射感染线索。</w:t>
      </w:r>
    </w:p>
    <w:p>
      <w:r>
        <w:t>05 神经系统专科检查：分神经视听眼动面感觉咀嚼吞咽咳嗽及运动。</w:t>
      </w:r>
    </w:p>
    <w:p>
      <w:r>
        <w:t>06 神经定位诊断：前中后颅底、海绵窦岩斜孔道与颈内动脉基底动脉。</w:t>
      </w:r>
    </w:p>
    <w:p>
      <w:r>
        <w:t>07 定性诊断：部位和性质分开，最终依组织；硬膜尾不是特异确诊。影像、临床、术中和病理确定度分别表述。。</w:t>
      </w:r>
    </w:p>
    <w:p>
      <w:r>
        <w:t>08 实验室检查：常规及病因对应病理病原基线。</w:t>
      </w:r>
    </w:p>
    <w:p>
      <w:r>
        <w:t>09 影像检查：MRI软组织神经血管、CT骨窗、血管影像按实际。</w:t>
      </w:r>
    </w:p>
    <w:p>
      <w:r>
        <w:t>10 诊断标准：部位和性质分开，最终依组织；硬膜尾不是特异确诊。只采用已核验且适用本例的标准，未满足必要项保留待定。。</w:t>
      </w:r>
    </w:p>
    <w:p>
      <w:r>
        <w:t>11 诊断依据：逐项对应本例颅神经顺序、鼻窦及既往手术放射感染线索、分神经视听眼动面感觉咀嚼吞咽咳嗽及运动与MRI软组织神经血管、CT骨窗、血管影像按实际的实际资料；推理不能替代缺失检查。。</w:t>
      </w:r>
    </w:p>
    <w:p>
      <w:r>
        <w:t>12 鉴别诊断：脊索瘤软骨肉瘤转移瘤神经鞘瘤炎症及纤维性病变。</w:t>
      </w:r>
    </w:p>
    <w:p>
      <w:r>
        <w:t>13 分型分级与危险程度：病理级别与血管神经包绕可切除性分别分析。</w:t>
      </w:r>
    </w:p>
    <w:p>
      <w:r>
        <w:t>14 保守治疗原则：稳定低症状可观察或其他局部方式，按实体实际决定。</w:t>
      </w:r>
    </w:p>
    <w:p>
      <w:r>
        <w:t>15 手术适应性评估：神经压迫进展、组织需求与根治风险、分期和放疗权衡。</w:t>
      </w:r>
    </w:p>
    <w:p>
      <w:r>
        <w:t>16 常见术式：个体化开颅颅底或内镜经鼻入路及重建。实际方式以术者记录为准。。</w:t>
      </w:r>
    </w:p>
    <w:p>
      <w:r>
        <w:t>17 术前风险：血管灾难、永久颅神经缺损、漏和感染。</w:t>
      </w:r>
    </w:p>
    <w:p>
      <w:r>
        <w:t>18 术后监测：对应颅神经、灌注、鼻耳漏和重建切口。</w:t>
      </w:r>
    </w:p>
    <w:p>
      <w:r>
        <w:t>19 并发症：出血缺血CSF漏、吞咽气道障碍和残留。</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颅神经顺序、鼻窦及既往手术放射感染线索的真实内容】；查体【分神经视听眼动面感觉咀嚼吞咽咳嗽及运动的实查与时间】；检查【MRI软组织神经血管、CT骨窗、血管影像按实际的实际结果】。</w:t>
      </w:r>
    </w:p>
    <w:p>
      <w:pPr>
        <w:pStyle w:val="MedicalCode"/>
        <w:keepLines w:val="0"/>
      </w:pPr>
      <w:r>
        <w:t>初步诊断：【本例支持的颅底脑膜瘤及骨性软组织病变或待查诊断与程度】</w:t>
      </w:r>
    </w:p>
    <w:p>
      <w:pPr>
        <w:pStyle w:val="MedicalCode"/>
        <w:keepLines w:val="0"/>
      </w:pPr>
      <w:r>
        <w:t>诊断依据：【实际症状体征及检查对应】</w:t>
      </w:r>
    </w:p>
    <w:p>
      <w:pPr>
        <w:pStyle w:val="MedicalCode"/>
        <w:keepLines w:val="0"/>
      </w:pPr>
      <w:r>
        <w:t>鉴别诊断：【围绕脊索瘤软骨肉瘤转移瘤神经鞘瘤炎症及纤维性病变的本例支持反对及缺项】</w:t>
      </w:r>
    </w:p>
    <w:p>
      <w:pPr>
        <w:pStyle w:val="MedicalCode"/>
        <w:keepLines w:val="0"/>
      </w:pPr>
      <w:r>
        <w:t>诊疗计划：【针对神经压迫进展、组织需求与根治风险、分期和放疗权衡的实际评估、治疗和复查计划】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对应颅神经、灌注、鼻耳漏和重建切口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对应颅神经、灌注、鼻耳漏和重建切口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前中后颅底、海绵窦岩斜孔道与颈内动脉基底动脉的本例证据】及【出血缺血CSF漏、吞咽气道障碍和残留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神经压迫进展、组织需求与根治风险、分期和放疗权衡的个体获益风险】和【功能照护、病理残留相关随访与放疗衔接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简要病情与术前诊断：【支持程度和前中后颅底、海绵窦岩斜孔道与颈内动脉基底动脉对应事实】</w:t>
      </w:r>
    </w:p>
    <w:p>
      <w:pPr>
        <w:pStyle w:val="MedicalCode"/>
        <w:keepLines w:val="0"/>
      </w:pPr>
      <w:r>
        <w:t>适应性与目标：【本例神经压迫进展、组织需求与根治风险、分期和放疗权衡评估结论】</w:t>
      </w:r>
    </w:p>
    <w:p>
      <w:pPr>
        <w:pStyle w:val="MedicalCode"/>
        <w:keepLines w:val="0"/>
      </w:pPr>
      <w:r>
        <w:t>拟行方案：【医师已决定术式及麻醉】</w:t>
      </w:r>
    </w:p>
    <w:p>
      <w:pPr>
        <w:pStyle w:val="MedicalCode"/>
        <w:keepLines w:val="0"/>
      </w:pPr>
      <w:r>
        <w:t>风险与准备：【血管灾难、永久颅神经缺损、漏和感染相关个体风险、实际准备与缺项】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对应颅神经、灌注、鼻耳漏和重建切口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出血缺血CSF漏、吞咽气道障碍和残留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入院情况：【实际症状、前中后颅底、海绵窦岩斜孔道与颈内动脉基底动脉相关查体及检查】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出院安排：【功能照护、病理残留相关随访与放疗衔接对应实际决定】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本病随访：【针对功能照护、病理残留相关随访与放疗衔接的实际时间科室项目】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长期随访：功能照护、病理残留相关随访与放疗衔接。每次记录实际随访日期、方式、来源、功能及检查，失访不能当无复发。</w:t>
      </w:r>
    </w:p>
    <w:p>
      <w:r>
        <w:t>31 最终质控：核本病解剖和责任病灶、真实神经查体、病理级别与血管神经包绕可切除性分别分析的变量来源；检查血管灾难、永久颅神经缺损、漏和感染相关实际状态，禁止将风险写为已发生并发症。术前未手术不套术后模板，10终审。</w:t>
      </w:r>
    </w:p>
    <w:p>
      <w:r>
        <w:t>32 参考指南及版本：[N01] Central Nervous System Tumours WHO Classification Fifth Edition Volume 6，2021，WHO Classification of Tumours Editorial Board IARC；[N03] EANO Guideline on the Diagnosis and Management of Meningiomas，2021，EANO；[S01] Hormone Replacement in Hypopituitarism in Adults，2016，Endocrine Society。核验日期2026年10月26日；适用范围与全文访问限制见本文件参考指南说明。</w:t>
      </w:r>
    </w:p>
    <w:p>
      <w:pPr>
        <w:pStyle w:val="Heading2"/>
      </w:pPr>
      <w:bookmarkStart w:id="358" w:name="sec_258"/>
      <w:r>
        <w:t>听神经鞘瘤与桥小脑角肿瘤</w:t>
      </w:r>
      <w:bookmarkEnd w:id="358"/>
    </w:p>
    <w:p>
      <w:r>
        <w:t>01 疾病定义：CPA或内听道相关肿瘤，典型听神经鞘瘤影像需组织分层。</w:t>
      </w:r>
    </w:p>
    <w:p>
      <w:r>
        <w:t>02 病因及发病机制：前庭神经鞘来源常见，多发双侧需考虑相关遗传但不能自动确诊。</w:t>
      </w:r>
    </w:p>
    <w:p>
      <w:r>
        <w:t>03 临床表现：听力下降耳鸣眩晕面麻面瘫和脑干压迫。</w:t>
      </w:r>
    </w:p>
    <w:p>
      <w:r>
        <w:t>04 病史采集重点：听力基线、症状速度家族线索与既往放疗。</w:t>
      </w:r>
    </w:p>
    <w:p>
      <w:r>
        <w:t>05 神经系统专科检查：实际听力面神经眼闭合角膜面感觉共济吞咽。</w:t>
      </w:r>
    </w:p>
    <w:p>
      <w:r>
        <w:t>06 神经定位诊断：内听道CPA、VII VIII下组颅神经脑干和第四脑室。</w:t>
      </w:r>
    </w:p>
    <w:p>
      <w:r>
        <w:t>07 定性诊断：典型影像拟诊，组织确诊；桥小脑角不是单一肿瘤。影像、临床、术中和病理确定度分别表述。。</w:t>
      </w:r>
    </w:p>
    <w:p>
      <w:r>
        <w:t>08 实验室检查：术前常规，听力电生理属于实际检查。</w:t>
      </w:r>
    </w:p>
    <w:p>
      <w:r>
        <w:t>09 影像检查：内听道增强MRI、脑干脑积水与骨性通道。</w:t>
      </w:r>
    </w:p>
    <w:p>
      <w:r>
        <w:t>10 诊断标准：典型影像拟诊，组织确诊；桥小脑角不是单一肿瘤。只采用已核验且适用本例的标准，未满足必要项保留待定。。</w:t>
      </w:r>
    </w:p>
    <w:p>
      <w:r>
        <w:t>11 诊断依据：逐项对应本例听力基线、症状速度家族线索与既往放疗、实际听力面神经眼闭合角膜面感觉共济吞咽与内听道增强MRI、脑干脑积水与骨性通道的实际资料；推理不能替代缺失检查。。</w:t>
      </w:r>
    </w:p>
    <w:p>
      <w:r>
        <w:t>12 鉴别诊断：脑膜瘤表皮样囊肿其他神经鞘瘤与转移。</w:t>
      </w:r>
    </w:p>
    <w:p>
      <w:r>
        <w:t>13 分型分级与危险程度：大小脑干关系、听力面神经量表需真实变量和标准。</w:t>
      </w:r>
    </w:p>
    <w:p>
      <w:r>
        <w:t>14 保守治疗原则：观察、放射治疗和手术比较，年龄生长功能决定。</w:t>
      </w:r>
    </w:p>
    <w:p>
      <w:r>
        <w:t>15 手术适应性评估：生长症状、脑干压迫脑积水、听力目标和治疗风险。</w:t>
      </w:r>
    </w:p>
    <w:p>
      <w:r>
        <w:t>16 常见术式：真实入路显微切除及必要脑积水处理。实际方式以术者记录为准。。</w:t>
      </w:r>
    </w:p>
    <w:p>
      <w:r>
        <w:t>17 术前风险：面听神经损伤、脑干小脑损伤、CSF漏。</w:t>
      </w:r>
    </w:p>
    <w:p>
      <w:r>
        <w:t>18 术后监测：面分支眼闭合听力眩晕吞咽和脑室。</w:t>
      </w:r>
    </w:p>
    <w:p>
      <w:r>
        <w:t>19 并发症：面瘫角膜风险、听损、漏与感染。</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病例特点：【本次听力基线、症状速度家族线索与既往放疗的真实内容】；查体【实际听力面神经眼闭合角膜面感觉共济吞咽的实查与时间】；检查【内听道增强MRI、脑干脑积水与骨性通道的实际结果】。</w:t>
      </w:r>
    </w:p>
    <w:p>
      <w:pPr>
        <w:pStyle w:val="MedicalCode"/>
        <w:keepLines w:val="0"/>
      </w:pPr>
      <w:r>
        <w:t>初步诊断：【本例支持的听神经鞘瘤与桥小脑角肿瘤或待查诊断与程度】</w:t>
      </w:r>
    </w:p>
    <w:p>
      <w:pPr>
        <w:pStyle w:val="MedicalCode"/>
        <w:keepLines w:val="0"/>
      </w:pPr>
      <w:r>
        <w:t>诊断依据：【实际症状体征及检查对应】</w:t>
      </w:r>
    </w:p>
    <w:p>
      <w:pPr>
        <w:pStyle w:val="MedicalCode"/>
        <w:keepLines w:val="0"/>
      </w:pPr>
      <w:r>
        <w:t>鉴别诊断：【围绕脑膜瘤表皮样囊肿其他神经鞘瘤与转移的本例支持反对及缺项】</w:t>
      </w:r>
    </w:p>
    <w:p>
      <w:pPr>
        <w:pStyle w:val="MedicalCode"/>
        <w:keepLines w:val="0"/>
      </w:pPr>
      <w:r>
        <w:t>诊疗计划：【针对生长症状、脑干压迫脑积水、听力目标和治疗风险的实际评估、治疗和复查计划】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面分支眼闭合听力眩晕吞咽和脑室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面分支眼闭合听力眩晕吞咽和脑室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今日随【实际姓名】副主任医师查房，患者【当前功能】，查体【当次资料】，检查【动态证据】。副主任医师结合【内听道CPA、VII VIII下组颅神经脑干和第四脑室的本例证据】及【面瘫角膜风险、听损、漏与感染的相关风险】，分析【实际定位定性与方案优化意见】，后续【真实计划及执行进度】。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生长症状、脑干压迫脑积水、听力目标和治疗风险的个体获益风险】和【MRI残留、听面功能及平衡康复，遗传评估据实际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简要病情与术前诊断：【支持程度和内听道CPA、VII VIII下组颅神经脑干和第四脑室对应事实】</w:t>
      </w:r>
    </w:p>
    <w:p>
      <w:pPr>
        <w:pStyle w:val="MedicalCode"/>
        <w:keepLines w:val="0"/>
      </w:pPr>
      <w:r>
        <w:t>适应性与目标：【本例生长症状、脑干压迫脑积水、听力目标和治疗风险评估结论】</w:t>
      </w:r>
    </w:p>
    <w:p>
      <w:pPr>
        <w:pStyle w:val="MedicalCode"/>
        <w:keepLines w:val="0"/>
      </w:pPr>
      <w:r>
        <w:t>拟行方案：【医师已决定术式及麻醉】</w:t>
      </w:r>
    </w:p>
    <w:p>
      <w:pPr>
        <w:pStyle w:val="MedicalCode"/>
        <w:keepLines w:val="0"/>
      </w:pPr>
      <w:r>
        <w:t>风险与准备：【面听神经损伤、脑干小脑损伤、CSF漏相关个体风险、实际准备与缺项】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面分支眼闭合听力眩晕吞咽和脑室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面瘫角膜风险、听损、漏与感染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入院情况：【实际症状、内听道CPA、VII VIII下组颅神经脑干和第四脑室相关查体及检查】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出院安排：【MRI残留、听面功能及平衡康复，遗传评估据实际对应实际决定】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本病随访：【针对MRI残留、听面功能及平衡康复，遗传评估据实际的实际时间科室项目】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长期随访：MRI残留、听面功能及平衡康复，遗传评估据实际。每次记录实际随访日期、方式、来源、功能及检查，失访不能当无复发。</w:t>
      </w:r>
    </w:p>
    <w:p>
      <w:r>
        <w:t>31 最终质控：核本病解剖和责任病灶、真实神经查体、大小脑干关系、听力面神经量表需真实变量和标准的变量来源；检查面听神经损伤、脑干小脑损伤、CSF漏相关实际状态，禁止将风险写为已发生并发症。术前未手术不套术后模板，10终审。</w:t>
      </w:r>
    </w:p>
    <w:p>
      <w:r>
        <w:t>32 参考指南及版本：[N01] Central Nervous System Tumours WHO Classification Fifth Edition Volume 6，2021，WHO Classification of Tumours Editorial Board IARC；[N06] EANO Guideline Diagnosis and Treatment Vestibular Schwannoma，2019在线/2020卷期，EANO。核验日期2026年10月26日；适用范围与全文访问限制见本文件参考指南说明。</w:t>
      </w:r>
    </w:p>
    <w:p>
      <w:pPr>
        <w:pStyle w:val="Heading2"/>
      </w:pPr>
      <w:bookmarkStart w:id="411" w:name="sec_311"/>
      <w:r>
        <w:t>后颅窝及脑干邻近病变</w:t>
      </w:r>
      <w:bookmarkEnd w:id="411"/>
    </w:p>
    <w:p>
      <w:r>
        <w:t>01 疾病定义：小脑第四脑室或脑干邻近病变压迫通路和CSF。</w:t>
      </w:r>
    </w:p>
    <w:p>
      <w:r>
        <w:t>02 病因及发病机制：肿瘤类型依年龄部位病理，不能后颅窝自动定髓母。</w:t>
      </w:r>
    </w:p>
    <w:p>
      <w:r>
        <w:t>03 临床表现：共济头痛呕吐、脑积水、吞咽呼吸或颅神经。</w:t>
      </w:r>
    </w:p>
    <w:p>
      <w:r>
        <w:t>04 病史采集重点：吞咽误吸呼吸睡眠听力步态及发育基线。</w:t>
      </w:r>
    </w:p>
    <w:p>
      <w:r>
        <w:t>05 神经系统专科检查：下组颅神经咳嗽、眼动共济长束和意识。</w:t>
      </w:r>
    </w:p>
    <w:p>
      <w:r>
        <w:t>06 神经定位诊断：小脑脑干第四脑室孔道、静脉血管关系。</w:t>
      </w:r>
    </w:p>
    <w:p>
      <w:r>
        <w:t>07 定性诊断：定位确立与性质待查分开，正式病理整合实体。影像、临床、术中和病理确定度分别表述。。</w:t>
      </w:r>
    </w:p>
    <w:p>
      <w:r>
        <w:t>08 实验室检查：术前常规及脑干功能相关呼吸营养风险。</w:t>
      </w:r>
    </w:p>
    <w:p>
      <w:r>
        <w:t>09 影像检查：增强MRI脑干界面及脑室，必要全神经轴依病理。</w:t>
      </w:r>
    </w:p>
    <w:p>
      <w:r>
        <w:t>10 诊断标准：定位确立与性质待查分开，正式病理整合实体。只采用已核验且适用本例的标准，未满足必要项保留待定。。</w:t>
      </w:r>
    </w:p>
    <w:p>
      <w:r>
        <w:t>11 诊断依据：逐项对应本例吞咽误吸呼吸睡眠听力步态及发育基线、下组颅神经咳嗽、眼动共济长束和意识与增强MRI脑干界面及脑室，必要全神经轴依病理的实际资料；推理不能替代缺失检查。。</w:t>
      </w:r>
    </w:p>
    <w:p>
      <w:r>
        <w:t>12 鉴别诊断：室管膜瘤、髓母、胶质、转移、血管母等。</w:t>
      </w:r>
    </w:p>
    <w:p>
      <w:r>
        <w:t>13 分型分级与危险程度：部位与病理年龄分类，不套成人幕上分级。</w:t>
      </w:r>
    </w:p>
    <w:p>
      <w:r>
        <w:t>14 保守治疗原则：CSF与气道营养支持及症状管理，不能颅压高一律腰穿。</w:t>
      </w:r>
    </w:p>
    <w:p>
      <w:r>
        <w:t>15 手术适应性评估：脑干压迫脑积水、组织需求、可达性及功能风险。</w:t>
      </w:r>
    </w:p>
    <w:p>
      <w:r>
        <w:t>16 常见术式：后颅窝切除或活检和独立CSF处理。实际方式以术者记录为准。。</w:t>
      </w:r>
    </w:p>
    <w:p>
      <w:r>
        <w:t>17 术前风险：脑干损伤、吞咽气道、后颅窝综合征及静脉损伤。</w:t>
      </w:r>
    </w:p>
    <w:p>
      <w:r>
        <w:t>18 术后监测：呼吸吞咽咳嗽、意识眼动共济和脑室。</w:t>
      </w:r>
    </w:p>
    <w:p>
      <w:r>
        <w:t>19 并发症：急性脑积水、误吸、CSF漏和功能缺损。</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病例特点：【本次吞咽误吸呼吸睡眠听力步态及发育基线的真实内容】；查体【下组颅神经咳嗽、眼动共济长束和意识的实查与时间】；检查【增强MRI脑干界面及脑室，必要全神经轴依病理的实际结果】。</w:t>
      </w:r>
    </w:p>
    <w:p>
      <w:pPr>
        <w:pStyle w:val="MedicalCode"/>
        <w:keepLines w:val="0"/>
      </w:pPr>
      <w:r>
        <w:t>初步诊断：【本例支持的后颅窝及脑干邻近病变或待查诊断与程度】</w:t>
      </w:r>
    </w:p>
    <w:p>
      <w:pPr>
        <w:pStyle w:val="MedicalCode"/>
        <w:keepLines w:val="0"/>
      </w:pPr>
      <w:r>
        <w:t>诊断依据：【实际症状体征及检查对应】</w:t>
      </w:r>
    </w:p>
    <w:p>
      <w:pPr>
        <w:pStyle w:val="MedicalCode"/>
        <w:keepLines w:val="0"/>
      </w:pPr>
      <w:r>
        <w:t>鉴别诊断：【围绕室管膜瘤、髓母、胶质、转移、血管母等的本例支持反对及缺项】</w:t>
      </w:r>
    </w:p>
    <w:p>
      <w:pPr>
        <w:pStyle w:val="MedicalCode"/>
        <w:keepLines w:val="0"/>
      </w:pPr>
      <w:r>
        <w:t>诊疗计划：【针对脑干压迫脑积水、组织需求、可达性及功能风险的实际评估、治疗和复查计划】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呼吸吞咽咳嗽、意识眼动共济和脑室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呼吸吞咽咳嗽、意识眼动共济和脑室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小脑脑干第四脑室孔道、静脉血管关系的本例证据】及【急性脑积水、误吸、CSF漏和功能缺损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脑干压迫脑积水、组织需求、可达性及功能风险的个体获益风险】和【吞咽言语共济康复及病理相关肿瘤和轴随访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简要病情与术前诊断：【支持程度和小脑脑干第四脑室孔道、静脉血管关系对应事实】</w:t>
      </w:r>
    </w:p>
    <w:p>
      <w:pPr>
        <w:pStyle w:val="MedicalCode"/>
        <w:keepLines w:val="0"/>
      </w:pPr>
      <w:r>
        <w:t>适应性与目标：【本例脑干压迫脑积水、组织需求、可达性及功能风险评估结论】</w:t>
      </w:r>
    </w:p>
    <w:p>
      <w:pPr>
        <w:pStyle w:val="MedicalCode"/>
        <w:keepLines w:val="0"/>
      </w:pPr>
      <w:r>
        <w:t>拟行方案：【医师已决定术式及麻醉】</w:t>
      </w:r>
    </w:p>
    <w:p>
      <w:pPr>
        <w:pStyle w:val="MedicalCode"/>
        <w:keepLines w:val="0"/>
      </w:pPr>
      <w:r>
        <w:t>风险与准备：【脑干损伤、吞咽气道、后颅窝综合征及静脉损伤相关个体风险、实际准备与缺项】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呼吸吞咽咳嗽、意识眼动共济和脑室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急性脑积水、误吸、CSF漏和功能缺损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入院情况：【实际症状、小脑脑干第四脑室孔道、静脉血管关系相关查体及检查】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出院安排：【吞咽言语共济康复及病理相关肿瘤和轴随访对应实际决定】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本病随访：【针对吞咽言语共济康复及病理相关肿瘤和轴随访的实际时间科室项目】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长期随访：吞咽言语共济康复及病理相关肿瘤和轴随访。每次记录实际随访日期、方式、来源、功能及检查，失访不能当无复发。</w:t>
      </w:r>
    </w:p>
    <w:p>
      <w:r>
        <w:t>31 最终质控：核本病解剖和责任病灶、真实神经查体、部位与病理年龄分类，不套成人幕上分级的变量来源；检查脑干损伤、吞咽气道、后颅窝综合征及静脉损伤相关实际状态，禁止将风险写为已发生并发症。术前未手术不套术后模板，10终审。</w:t>
      </w:r>
    </w:p>
    <w:p>
      <w:r>
        <w:t>32 参考指南及版本：[N01] Central Nervous System Tumours WHO Classification Fifth Edition Volume 6，2021，WHO Classification of Tumours Editorial Board IARC；[P01] Pediatric Hydrocephalus Guidelines 2014 with 2020 Update，2014/2020，Congress of Neurological Surgeons Pediatric Section。核验日期2026年10月26日；适用范围与全文访问限制见本文件参考指南说明。</w:t>
      </w:r>
    </w:p>
    <w:p>
      <w:pPr>
        <w:pStyle w:val="Heading1"/>
      </w:pPr>
      <w:bookmarkStart w:id="464" w:name="sec_364"/>
      <w:r>
        <w:t>本模块专项规则与模拟临床病例</w:t>
      </w:r>
      <w:bookmarkEnd w:id="464"/>
    </w:p>
    <w:p>
      <w:pPr>
        <w:pStyle w:val="Heading2"/>
      </w:pPr>
      <w:bookmarkStart w:id="465" w:name="sec_365"/>
      <w:r>
        <w:t>虚构术后多尿案例</w:t>
      </w:r>
      <w:bookmarkEnd w:id="465"/>
    </w:p>
    <w:p>
      <w:r>
        <w:t>SIM-SELLAR-01：10-25经鼻蝶实际手术，10-26尿量增加，只有总量无统计时段，血钠未回。记录多尿相关问题待核，索取时段尿量出入量血尿渗透和钠、药物；不能直接确诊尿崩或写去氨加压素已用。</w:t>
      </w:r>
    </w:p>
    <w:p>
      <w:pPr>
        <w:pStyle w:val="Heading2"/>
      </w:pPr>
      <w:bookmarkStart w:id="467" w:name="sec_367"/>
      <w:r>
        <w:t>病理与内分泌来源</w:t>
      </w:r>
      <w:bookmarkEnd w:id="467"/>
    </w:p>
    <w:p>
      <w:r>
        <w:t>激素分泌状态、术中肿瘤印象、正式组织和分子是不同证据。儿童鞍区病例联108，不套成人剂量和发育评价。</w:t>
      </w:r>
    </w:p>
    <w:p>
      <w:pPr>
        <w:pStyle w:val="Heading1"/>
      </w:pPr>
      <w:bookmarkStart w:id="469" w:name="sec_369"/>
      <w:r>
        <w:t>事实边界与常见错误</w:t>
      </w:r>
      <w:bookmarkEnd w:id="469"/>
    </w:p>
    <w:p>
      <w:r>
        <w:t>查体未提供时不填正常；拟行、医嘱、实际执行分开；术者记录、麻醉记录、护理装置记录和影像报告按各自事实领域核对。冲突不以信息较新或职称较高自动消除。模拟病例全部使用虚构编号，不可存入真实患者状态。</w:t>
      </w:r>
    </w:p>
    <w:p>
      <w:r>
        <w:t>本模块所有正式输出遵守01。结构模板中的【字段】只用于规则演示，不是患者事实。不得生成医师实际未说过的查房意见、实际未开展的讨论或知情沟通；可在框外提供待医师确认的分析建议。</w:t>
      </w:r>
    </w:p>
    <w:p>
      <w:pPr>
        <w:pStyle w:val="Heading1"/>
      </w:pPr>
      <w:bookmarkStart w:id="472" w:name="sec_372"/>
      <w:r>
        <w:t>模块联动与最终质控</w:t>
      </w:r>
      <w:bookmarkEnd w:id="472"/>
    </w:p>
    <w:p>
      <w:r>
        <w:t>由00进入，01约束，11绑定患者及住院事件后调用104；需要的通用或专病模块只按当前任务加载。输出前交10核对身份、解剖侧别、证据程度、手术与装置事件、时序、用药执行及代码框；严重冲突阻断净稿，紧急评估提示不受阻断。</w:t>
      </w:r>
    </w:p>
    <w:p>
      <w:pPr>
        <w:pStyle w:val="Heading1"/>
      </w:pPr>
      <w:bookmarkStart w:id="90000" w:name="ref_section"/>
      <w:r>
        <w:t>参考指南及版本说明</w:t>
      </w:r>
      <w:bookmarkEnd w:id="90000"/>
    </w:p>
    <w:p>
      <w:r>
        <w:t>核验日为2026年10月26日。下列来源按实际可访问层级列示；目录摘要核验不等于全文推荐核验。未核实的分值界限、给药剂量、引流设置和手术阈值不由本库自动补入；先使用本院经批准且已核对版本的规范。中国制度和国际指南分别标注适用人群，不能混合成统一自动医嘱。旧版保留用于解释历史记录，不称最新版。</w:t>
      </w:r>
    </w:p>
    <w:p>
      <w:r>
        <w:t>[R01] 病历书写基本规范 卫医政发〔2010〕11号。发布机构：原卫生部；年份/版本：2010；核验日期：2026年10月26日。适用范围：客观真实、栏目、记录时限及签名；执行前同时核对本院现行制度。核验层级：官方页面与可检索条文已核验；不是2002试行版。来源：https://www.nhc.gov.cn/wjw/c100175/201002/b1bec53d90f243e0861529723f00221a.shtml</w:t>
      </w:r>
    </w:p>
    <w:p>
      <w:r>
        <w:t>[R02] 医疗质量安全核心制度要点 国卫医发〔2018〕8号。发布机构：国家卫生健康委员会；年份/版本：2018；核验日期：2026年10月26日。适用范围：三级查房、会诊、术前讨论、抢救、手术安全、病历及信息管理。核验层级：官方解读已核验。来源：https://www.nhc.gov.cn/zwgk/jdjd/201804/5dfb30387c74412194c7f05b878d4f87.shtml</w:t>
      </w:r>
    </w:p>
    <w:p>
      <w:r>
        <w:t>[R03] 电子病历应用管理规范 试行 国卫办医发〔2017〕8号。发布机构：原国家卫生计生委 国家中医药管理局；年份/版本：2017；核验日期：2026年10月26日。适用范围：电子病历权限、审签、修改留痕和管理。核验层级：官网全文或原始指南页面已核验。来源：https://www.nhc.gov.cn/wjw/c100175/201702/90f3de8ae03d488cbddf509dc958f75b.shtml</w:t>
      </w:r>
    </w:p>
    <w:p>
      <w:r>
        <w:t>[N01] Central Nervous System Tumours WHO Classification Fifth Edition Volume 6。发布机构：WHO Classification of Tumours Editorial Board IARC；年份/版本：2021；核验日期：2026年10月26日。适用范围：CNS肿瘤组织学分子整合命名；官网勘误与在线更新需同查。核验层级：官方版本页面及勘误入口核验；未声称无后续更新。来源：https://publications.iarc.who.int/601</w:t>
      </w:r>
    </w:p>
    <w:p>
      <w:r>
        <w:t>[S01] Hormone Replacement in Hypopituitarism in Adults。发布机构：Endocrine Society；年份/版本：2016；核验日期：2026年10月26日。适用范围：成人垂体功能减退、围术期激素评估，不作为儿童剂量依据。核验层级：官网全文或原始指南页面已核验。来源：https://www.endocrine.org/clinical-practice-guidelines/hormone-replacement-in-hypopituitarism</w:t>
      </w:r>
    </w:p>
    <w:p>
      <w:r>
        <w:t>[S02] Diagnosis and Management of Prolactin Secreting Pituitary Adenomas International Consensus。发布机构：Pituitary Society；年份/版本：2023；核验日期：2026年10月26日。适用范围：泌乳素腺瘤的药物与手术适用性。核验层级：官网全文或原始指南页面已核验。来源：https://www.nature.com/articles/s41574-023-00886-5</w:t>
      </w:r>
    </w:p>
    <w:p>
      <w:r>
        <w:t>[H01] 神经外科重症患者脑脊液外引流管理专家共识 2026版。发布机构：中华医学会神经外科学分会 中国神经外科重症管理协作组；年份/版本：2026；核验日期：2026年10月26日。适用范围：EVD和LD适用范围、留置管理与并发症；DOI 10.3760/cma.j.cn112137-20251114-02966。核验层级：原期刊目录摘要核验；全文参数未逐条核验，不沿用2018固定设置。来源：https://bi-dmp-cs.yiigle.com/cn/WEB-INF/toc/72615</w:t>
      </w:r>
    </w:p>
    <w:p>
      <w:r>
        <w:t>[P01] Pediatric Hydrocephalus Guidelines 2014 with 2020 Update。发布机构：Congress of Neurological Surgeons Pediatric Section；年份/版本：2014/2020；核验日期：2026年10月26日。适用范围：儿童脑积水的外科评估和分流ETV策略。核验层级：官网全文或原始指南页面已核验。来源：https://www.cns.org/guidelines/browse-guidelines-detail/pediatric-hydrocephalus-guideline-1</w:t>
      </w:r>
    </w:p>
    <w:p>
      <w:r>
        <w:t>[N03] EANO Guideline on the Diagnosis and Management of Meningiomas。发布机构：EANO；年份/版本：2021；核验日期：2026年10月26日。适用范围：脑膜瘤观察、外科和后续放疗策略。核验层级：官网全文或原始指南页面已核验。来源：https://www.eano.eu/publications/eano-guidelines/eano-guideline-on-the-diagnosis-and-management-of-meningiomas/</w:t>
      </w:r>
    </w:p>
    <w:p>
      <w:r>
        <w:t>[N06] EANO Guideline Diagnosis and Treatment Vestibular Schwannoma。发布机构：EANO；年份/版本：2019在线/2020卷期；核验日期：2026年10月26日。适用范围：听神经鞘瘤评估、观察与治疗的功能风险。核验层级：官方目录核验。来源：https://www.eano.eu/publications/eano-guidelines/</w:t>
      </w:r>
    </w:p>
    <w:sectPr w:rsidR="00FC693F" w:rsidRPr="0006063C" w:rsidSect="00034616">
      <w:footerReference w:type="default" r:id="rId9"/>
      <w:pgSz w:w="11906" w:h="16838"/>
      <w:pgMar w:top="1304"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神经外科AI病历书写系统 V1.0  104  |  </w:t>
    </w:r>
    <w:fldSimple w:instr="PAGE">
      <w:r>
        <w:t>1</w:t>
      </w:r>
    </w:fldSimple>
    <w:r>
      <w:t xml:space="preserve"> / </w:t>
    </w:r>
    <w:fldSimple w:instr="NUMPAGES">
      <w:r>
        <w:t>33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Arial" w:hAnsi="Arial" w:eastAsia="Songti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88" w:lineRule="auto"/>
      <w:outlineLvl w:val="0"/>
    </w:pPr>
    <w:rPr>
      <w:rFonts w:ascii="Arial" w:hAnsi="Arial"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Arial" w:hAnsi="Arial" w:eastAsia="Hiragino Sans GB"/>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Arial" w:hAnsi="Arial" w:eastAsia="Hiragino Sans GB"/>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Arial" w:hAnsi="Arial" w:eastAsia="Hiragino Sans G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Arial" w:hAnsi="Arial" w:eastAsia="Hiragino Sans G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Code">
    <w:name w:val="Medical Code"/>
    <w:basedOn w:val="Normal"/>
    <w:pPr>
      <w:spacing w:after="40" w:line="276" w:lineRule="auto"/>
    </w:pPr>
    <w:rPr>
      <w:rFonts w:ascii="Consolas" w:hAnsi="Consolas" w:eastAsia="Songti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颅底垂体鞍区及后颅窝疾病专病模板库</dc:title>
  <dc:subject>神经外科医学文书规则库</dc:subject>
  <dc:creator>神经外科病历模板库</dc:creator>
  <cp:keywords>104 V1.0 2026-10-26</cp:keywords>
  <dc:description>模拟病例为虚构教学测试数据，不得写入真实病历。</dc:description>
  <cp:lastModifiedBy/>
  <cp:revision>1</cp:revision>
  <dcterms:created xsi:type="dcterms:W3CDTF">2013-12-23T23:15:00Z</dcterms:created>
  <dcterms:modified xsi:type="dcterms:W3CDTF">2013-12-23T23:15:00Z</dcterms:modified>
  <cp:category/>
</cp:coreProperties>
</file>