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神经外科AI病历书写系统</w:t>
      </w:r>
    </w:p>
    <w:p>
      <w:pPr>
        <w:pStyle w:val="Subtitle"/>
      </w:pPr>
      <w:r>
        <w:t>V1.0</w:t>
      </w:r>
    </w:p>
    <w:p>
      <w:pPr>
        <w:pStyle w:val="Title"/>
      </w:pPr>
      <w:r>
        <w:t>105 脊柱脊髓与周围神经外科专病模板库</w:t>
      </w:r>
    </w:p>
    <w:p>
      <w:r>
        <w:t>模块编号 105    版本 V1.0</w:t>
      </w:r>
    </w:p>
    <w:p>
      <w:r>
        <w:t>所属层级 第三级 专病知识层</w:t>
      </w:r>
    </w:p>
    <w:p>
      <w:r>
        <w:t>创建及公开来源核验日期 2026年10月26日</w:t>
      </w:r>
    </w:p>
    <w:p>
      <w:r>
        <w:t>功能定位 专病证据分析与连续文书生成</w:t>
      </w:r>
    </w:p>
    <w:p>
      <w:r>
        <w:t>适用范围 20类脊柱脊髓周围神经外科疾病</w:t>
      </w:r>
    </w:p>
    <w:p>
      <w:r>
        <w:t>自动调用条件 11识别该病种、相关手术或特异并发症；儿童另联108</w:t>
      </w:r>
    </w:p>
    <w:p>
      <w:r>
        <w:t>供中国医院神经外科临床医师使用的文书辅助规则库。阅读本模块后，应能提取本例证据、选择诊疗阶段、保留事实边界并生成可审核的病历正文。</w:t>
      </w:r>
    </w:p>
    <w:p>
      <w:r>
        <w:t>本系统是医师审核前的文书辅助规则库，不能替代查体、手术或介入决策、医嘱开立、装置操作、知情沟通、签名或法定审核。每一患者事实绑定patient_id、encounter_id、event_id、发生时间、可获知时间、来源及核验状态；未知不等于正常，未提供不等于未发生。稳定背景可按来源继承，当日神经查体、生命体征、引流和用药执行须有对应时间的资料。医学知识和模板不能自动变成患者实际诊疗事实。</w:t>
      </w:r>
    </w:p>
    <w:p>
      <w:r>
        <w:br w:type="page"/>
      </w:r>
    </w:p>
    <w:p>
      <w:pPr>
        <w:pStyle w:val="Title"/>
      </w:pPr>
      <w:r>
        <w:t>目录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tabs>
          <w:tab w:pos="8787" w:val="right" w:leader="dot"/>
        </w:tabs>
        <w:spacing w:after="60"/>
      </w:pPr>
      <w:hyperlink w:anchor="sec_0">
        <w:r>
          <w:t>专病使用范围与最高约束</w:t>
        </w:r>
      </w:hyperlink>
      <w:r>
        <w:tab/>
      </w:r>
      <w:fldSimple w:instr="PAGEREF sec_0 \h">
        <w:r>
          <w:t>4</w:t>
        </w:r>
      </w:fldSimple>
    </w:p>
    <w:p>
      <w:pPr>
        <w:tabs>
          <w:tab w:pos="8787" w:val="right" w:leader="dot"/>
        </w:tabs>
        <w:spacing w:after="60"/>
      </w:pPr>
      <w:hyperlink w:anchor="sec_3">
        <w:r>
          <w:t>病种覆盖与差异化调用索引</w:t>
        </w:r>
      </w:hyperlink>
      <w:r>
        <w:tab/>
      </w:r>
      <w:fldSimple w:instr="PAGEREF sec_3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">
        <w:r>
          <w:t>颈椎退行性疾病</w:t>
        </w:r>
      </w:hyperlink>
      <w:r>
        <w:tab/>
      </w:r>
      <w:fldSimple w:instr="PAGEREF sec_4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">
        <w:r>
          <w:t>颈椎间盘突出</w:t>
        </w:r>
      </w:hyperlink>
      <w:r>
        <w:tab/>
      </w:r>
      <w:fldSimple w:instr="PAGEREF sec_6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8">
        <w:r>
          <w:t>颈椎管狭窄</w:t>
        </w:r>
      </w:hyperlink>
      <w:r>
        <w:tab/>
      </w:r>
      <w:fldSimple w:instr="PAGEREF sec_8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0">
        <w:r>
          <w:t>脊髓型颈椎病</w:t>
        </w:r>
      </w:hyperlink>
      <w:r>
        <w:tab/>
      </w:r>
      <w:fldSimple w:instr="PAGEREF sec_10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2">
        <w:r>
          <w:t>腰椎间盘突出</w:t>
        </w:r>
      </w:hyperlink>
      <w:r>
        <w:tab/>
      </w:r>
      <w:fldSimple w:instr="PAGEREF sec_12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4">
        <w:r>
          <w:t>腰椎管狭窄</w:t>
        </w:r>
      </w:hyperlink>
      <w:r>
        <w:tab/>
      </w:r>
      <w:fldSimple w:instr="PAGEREF sec_14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6">
        <w:r>
          <w:t>椎管内肿瘤</w:t>
        </w:r>
      </w:hyperlink>
      <w:r>
        <w:tab/>
      </w:r>
      <w:fldSimple w:instr="PAGEREF sec_16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8">
        <w:r>
          <w:t>髓内肿瘤</w:t>
        </w:r>
      </w:hyperlink>
      <w:r>
        <w:tab/>
      </w:r>
      <w:fldSimple w:instr="PAGEREF sec_18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0">
        <w:r>
          <w:t>髓外硬膜内肿瘤</w:t>
        </w:r>
      </w:hyperlink>
      <w:r>
        <w:tab/>
      </w:r>
      <w:fldSimple w:instr="PAGEREF sec_20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2">
        <w:r>
          <w:t>脊髓空洞症</w:t>
        </w:r>
      </w:hyperlink>
      <w:r>
        <w:tab/>
      </w:r>
      <w:fldSimple w:instr="PAGEREF sec_22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4">
        <w:r>
          <w:t>脊髓血管畸形</w:t>
        </w:r>
      </w:hyperlink>
      <w:r>
        <w:tab/>
      </w:r>
      <w:fldSimple w:instr="PAGEREF sec_24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6">
        <w:r>
          <w:t>脊髓损伤</w:t>
        </w:r>
      </w:hyperlink>
      <w:r>
        <w:tab/>
      </w:r>
      <w:fldSimple w:instr="PAGEREF sec_26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8">
        <w:r>
          <w:t>脊柱骨折合并神经损伤</w:t>
        </w:r>
      </w:hyperlink>
      <w:r>
        <w:tab/>
      </w:r>
      <w:fldSimple w:instr="PAGEREF sec_28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0">
        <w:r>
          <w:t>脊髓压迫</w:t>
        </w:r>
      </w:hyperlink>
      <w:r>
        <w:tab/>
      </w:r>
      <w:fldSimple w:instr="PAGEREF sec_30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2">
        <w:r>
          <w:t>脊髓感染</w:t>
        </w:r>
      </w:hyperlink>
      <w:r>
        <w:tab/>
      </w:r>
      <w:fldSimple w:instr="PAGEREF sec_32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4">
        <w:r>
          <w:t>神经鞘瘤</w:t>
        </w:r>
      </w:hyperlink>
      <w:r>
        <w:tab/>
      </w:r>
      <w:fldSimple w:instr="PAGEREF sec_34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6">
        <w:r>
          <w:t>周围神经肿瘤</w:t>
        </w:r>
      </w:hyperlink>
      <w:r>
        <w:tab/>
      </w:r>
      <w:fldSimple w:instr="PAGEREF sec_36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8">
        <w:r>
          <w:t>神经根病变</w:t>
        </w:r>
      </w:hyperlink>
      <w:r>
        <w:tab/>
      </w:r>
      <w:fldSimple w:instr="PAGEREF sec_38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0">
        <w:r>
          <w:t>术后神经功能变化</w:t>
        </w:r>
      </w:hyperlink>
      <w:r>
        <w:tab/>
      </w:r>
      <w:fldSimple w:instr="PAGEREF sec_40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2">
        <w:r>
          <w:t>其他神外脊柱脊髓病例</w:t>
        </w:r>
      </w:hyperlink>
      <w:r>
        <w:tab/>
      </w:r>
      <w:fldSimple w:instr="PAGEREF sec_42 \h">
        <w:r>
          <w:t>7</w:t>
        </w:r>
      </w:fldSimple>
    </w:p>
    <w:p>
      <w:pPr>
        <w:tabs>
          <w:tab w:pos="8787" w:val="right" w:leader="dot"/>
        </w:tabs>
        <w:spacing w:after="60"/>
      </w:pPr>
      <w:hyperlink w:anchor="sec_44">
        <w:r>
          <w:t>重要病种完整32项临床与文书单元</w:t>
        </w:r>
      </w:hyperlink>
      <w:r>
        <w:tab/>
      </w:r>
      <w:fldSimple w:instr="PAGEREF sec_44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5">
        <w:r>
          <w:t>退行性颈椎病与脊髓型颈椎病</w:t>
        </w:r>
      </w:hyperlink>
      <w:r>
        <w:tab/>
      </w:r>
      <w:fldSimple w:instr="PAGEREF sec_45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99">
        <w:r>
          <w:t>腰椎间盘突出与腰椎管狭窄</w:t>
        </w:r>
      </w:hyperlink>
      <w:r>
        <w:tab/>
      </w:r>
      <w:fldSimple w:instr="PAGEREF sec_99 \h">
        <w:r>
          <w:t>11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52">
        <w:r>
          <w:t>髓内及髓外椎管内肿瘤</w:t>
        </w:r>
      </w:hyperlink>
      <w:r>
        <w:tab/>
      </w:r>
      <w:fldSimple w:instr="PAGEREF sec_152 \h">
        <w:r>
          <w:t>15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05">
        <w:r>
          <w:t>急性脊髓损伤及骨折合并神经损伤</w:t>
        </w:r>
      </w:hyperlink>
      <w:r>
        <w:tab/>
      </w:r>
      <w:fldSimple w:instr="PAGEREF sec_205 \h">
        <w:r>
          <w:t>19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58">
        <w:r>
          <w:t>脊髓空洞与脊髓血管性病变</w:t>
        </w:r>
      </w:hyperlink>
      <w:r>
        <w:tab/>
      </w:r>
      <w:fldSimple w:instr="PAGEREF sec_258 \h">
        <w:r>
          <w:t>23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11">
        <w:r>
          <w:t>脊髓感染相关外科病例</w:t>
        </w:r>
      </w:hyperlink>
      <w:r>
        <w:tab/>
      </w:r>
      <w:fldSimple w:instr="PAGEREF sec_311 \h">
        <w:r>
          <w:t>27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64">
        <w:r>
          <w:t>神经鞘瘤周围神经肿瘤与神经根病</w:t>
        </w:r>
      </w:hyperlink>
      <w:r>
        <w:tab/>
      </w:r>
      <w:fldSimple w:instr="PAGEREF sec_364 \h">
        <w:r>
          <w:t>31</w:t>
        </w:r>
      </w:fldSimple>
    </w:p>
    <w:p>
      <w:pPr>
        <w:tabs>
          <w:tab w:pos="8787" w:val="right" w:leader="dot"/>
        </w:tabs>
        <w:spacing w:after="60"/>
      </w:pPr>
      <w:hyperlink w:anchor="sec_417">
        <w:r>
          <w:t>本模块专项规则与模拟临床病例</w:t>
        </w:r>
      </w:hyperlink>
      <w:r>
        <w:tab/>
      </w:r>
      <w:fldSimple w:instr="PAGEREF sec_417 \h">
        <w:r>
          <w:t>35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18">
        <w:r>
          <w:t>术后新缺损虚构案例</w:t>
        </w:r>
      </w:hyperlink>
      <w:r>
        <w:tab/>
      </w:r>
      <w:fldSimple w:instr="PAGEREF sec_418 \h">
        <w:r>
          <w:t>35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20">
        <w:r>
          <w:t>专业分工</w:t>
        </w:r>
      </w:hyperlink>
      <w:r>
        <w:tab/>
      </w:r>
      <w:fldSimple w:instr="PAGEREF sec_420 \h">
        <w:r>
          <w:t>35</w:t>
        </w:r>
      </w:fldSimple>
    </w:p>
    <w:p>
      <w:pPr>
        <w:tabs>
          <w:tab w:pos="8787" w:val="right" w:leader="dot"/>
        </w:tabs>
        <w:spacing w:after="60"/>
      </w:pPr>
      <w:hyperlink w:anchor="sec_422">
        <w:r>
          <w:t>事实边界与常见错误</w:t>
        </w:r>
      </w:hyperlink>
      <w:r>
        <w:tab/>
      </w:r>
      <w:fldSimple w:instr="PAGEREF sec_422 \h">
        <w:r>
          <w:t>35</w:t>
        </w:r>
      </w:fldSimple>
    </w:p>
    <w:p>
      <w:pPr>
        <w:tabs>
          <w:tab w:pos="8787" w:val="right" w:leader="dot"/>
        </w:tabs>
        <w:spacing w:after="60"/>
      </w:pPr>
      <w:hyperlink w:anchor="sec_425">
        <w:r>
          <w:t>模块联动与最终质控</w:t>
        </w:r>
      </w:hyperlink>
      <w:r>
        <w:tab/>
      </w:r>
      <w:fldSimple w:instr="PAGEREF sec_425 \h">
        <w:r>
          <w:t>36</w:t>
        </w:r>
      </w:fldSimple>
    </w:p>
    <w:p>
      <w:pPr>
        <w:tabs>
          <w:tab w:pos="8787" w:val="right" w:leader="dot"/>
        </w:tabs>
        <w:spacing w:after="60"/>
      </w:pPr>
      <w:hyperlink w:anchor="ref_section">
        <w:r>
          <w:t>参考指南及版本说明</w:t>
        </w:r>
      </w:hyperlink>
      <w:r>
        <w:tab/>
      </w:r>
      <w:fldSimple w:instr="PAGEREF ref_section \h">
        <w:r>
          <w:t>36</w:t>
        </w:r>
      </w:fldSimple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00" w:name="sec_0"/>
      <w:r>
        <w:t>专病使用范围与最高约束</w:t>
      </w:r>
      <w:bookmarkEnd w:id="100"/>
    </w:p>
    <w:p>
      <w:r>
        <w:t>本系统是医师审核前的文书辅助规则库，不能替代查体、手术或介入决策、医嘱开立、装置操作、知情沟通、签名或法定审核。每一患者事实绑定patient_id、encounter_id、event_id、发生时间、可获知时间、来源及核验状态；未知不等于正常，未提供不等于未发生。稳定背景可按来源继承，当日神经查体、生命体征、引流和用药执行须有对应时间的资料。医学知识和模板不能自动变成患者实际诊疗事实。</w:t>
      </w:r>
    </w:p>
    <w:p>
      <w:r>
        <w:t>所有专病正式输出遵守01的text代码框，题头在外、正文在内；日常与三级查房单段，无占位符。下面结构模板不是实际病历，须以本例资料替换；对医师意见和手术事实无来源时，不能凭本病知识补齐。专业知识用于提出待核问题和解释证据，不自动成为患者诊疗决定。</w:t>
      </w:r>
    </w:p>
    <w:p>
      <w:pPr>
        <w:pStyle w:val="Heading1"/>
      </w:pPr>
      <w:bookmarkStart w:id="103" w:name="sec_3"/>
      <w:r>
        <w:t>病种覆盖与差异化调用索引</w:t>
      </w:r>
      <w:bookmarkEnd w:id="103"/>
    </w:p>
    <w:p>
      <w:pPr>
        <w:pStyle w:val="Heading2"/>
      </w:pPr>
      <w:bookmarkStart w:id="104" w:name="sec_4"/>
      <w:r>
        <w:t>颈椎退行性疾病</w:t>
      </w:r>
      <w:bookmarkEnd w:id="104"/>
    </w:p>
    <w:p>
      <w:r>
        <w:t>调用本模块“退行性颈椎病与脊髓型颈椎病”完整32项病种单元，并增加以下特异规则：影像退变和临床责任对应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06" w:name="sec_6"/>
      <w:r>
        <w:t>颈椎间盘突出</w:t>
      </w:r>
      <w:bookmarkEnd w:id="106"/>
    </w:p>
    <w:p>
      <w:r>
        <w:t>调用本模块“退行性颈椎病与脊髓型颈椎病”完整32项病种单元，并增加以下特异规则：根型与髓型分别定位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08" w:name="sec_8"/>
      <w:r>
        <w:t>颈椎管狭窄</w:t>
      </w:r>
      <w:bookmarkEnd w:id="108"/>
    </w:p>
    <w:p>
      <w:r>
        <w:t>调用本模块“退行性颈椎病与脊髓型颈椎病”完整32项病种单元，并增加以下特异规则：没有髓症状不能仅狭窄诊髓病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10" w:name="sec_10"/>
      <w:r>
        <w:t>脊髓型颈椎病</w:t>
      </w:r>
      <w:bookmarkEnd w:id="110"/>
    </w:p>
    <w:p>
      <w:r>
        <w:t>调用本模块“退行性颈椎病与脊髓型颈椎病”完整32项病种单元，并增加以下特异规则：手功能步态长束及括约肌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12" w:name="sec_12"/>
      <w:r>
        <w:t>腰椎间盘突出</w:t>
      </w:r>
      <w:bookmarkEnd w:id="112"/>
    </w:p>
    <w:p>
      <w:r>
        <w:t>调用本模块“腰椎间盘突出与腰椎管狭窄”完整32项病种单元，并增加以下特异规则：责任侧别肌节皮节一致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14" w:name="sec_14"/>
      <w:r>
        <w:t>腰椎管狭窄</w:t>
      </w:r>
      <w:bookmarkEnd w:id="114"/>
    </w:p>
    <w:p>
      <w:r>
        <w:t>调用本模块“腰椎间盘突出与腰椎管狭窄”完整32项病种单元，并增加以下特异规则：行走距离和血管性跛行鉴别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16" w:name="sec_16"/>
      <w:r>
        <w:t>椎管内肿瘤</w:t>
      </w:r>
      <w:bookmarkEnd w:id="116"/>
    </w:p>
    <w:p>
      <w:r>
        <w:t>调用本模块“髓内及髓外椎管内肿瘤”完整32项病种单元，并增加以下特异规则：髓内外硬膜内外分层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18" w:name="sec_18"/>
      <w:r>
        <w:t>髓内肿瘤</w:t>
      </w:r>
      <w:bookmarkEnd w:id="118"/>
    </w:p>
    <w:p>
      <w:r>
        <w:t>调用本模块“髓内及髓外椎管内肿瘤”完整32项病种单元，并增加以下特异规则：髓切开平面血供及病理实体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20" w:name="sec_20"/>
      <w:r>
        <w:t>髓外硬膜内肿瘤</w:t>
      </w:r>
      <w:bookmarkEnd w:id="120"/>
    </w:p>
    <w:p>
      <w:r>
        <w:t>调用本模块“髓内及髓外椎管内肿瘤”完整32项病种单元，并增加以下特异规则：神经根硬膜和稳定性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22" w:name="sec_22"/>
      <w:r>
        <w:t>脊髓空洞症</w:t>
      </w:r>
      <w:bookmarkEnd w:id="122"/>
    </w:p>
    <w:p>
      <w:r>
        <w:t>调用本模块“脊髓空洞与脊髓血管性病变”完整32项病种单元，并增加以下特异规则：先查病因，空洞不等单独需分流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24" w:name="sec_24"/>
      <w:r>
        <w:t>脊髓血管畸形</w:t>
      </w:r>
      <w:bookmarkEnd w:id="124"/>
    </w:p>
    <w:p>
      <w:r>
        <w:t>调用本模块“脊髓空洞与脊髓血管性病变”完整32项病种单元，并增加以下特异规则：瘘与畸形团及静脉回流区别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26" w:name="sec_26"/>
      <w:r>
        <w:t>脊髓损伤</w:t>
      </w:r>
      <w:bookmarkEnd w:id="126"/>
    </w:p>
    <w:p>
      <w:r>
        <w:t>调用本模块“急性脊髓损伤及骨折合并神经损伤”完整32项病种单元，并增加以下特异规则：ASIA变量和版本，影像不推AIS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28" w:name="sec_28"/>
      <w:r>
        <w:t>脊柱骨折合并神经损伤</w:t>
      </w:r>
      <w:bookmarkEnd w:id="128"/>
    </w:p>
    <w:p>
      <w:r>
        <w:t>调用本模块“急性脊髓损伤及骨折合并神经损伤”完整32项病种单元，并增加以下特异规则：骨性节段与神经平面区分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30" w:name="sec_30"/>
      <w:r>
        <w:t>脊髓压迫</w:t>
      </w:r>
      <w:bookmarkEnd w:id="130"/>
    </w:p>
    <w:p>
      <w:r>
        <w:t>调用本模块“髓内及髓外椎管内肿瘤”完整32项病种单元，并增加以下特异规则：压迫是综合征，要定病因不自动为肿瘤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32" w:name="sec_32"/>
      <w:r>
        <w:t>脊髓感染</w:t>
      </w:r>
      <w:bookmarkEnd w:id="132"/>
    </w:p>
    <w:p>
      <w:r>
        <w:t>调用本模块“脊髓感染相关外科病例”完整32项病种单元，并增加以下特异规则：病原取材抗菌时序和压迫源控制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34" w:name="sec_34"/>
      <w:r>
        <w:t>神经鞘瘤</w:t>
      </w:r>
      <w:bookmarkEnd w:id="134"/>
    </w:p>
    <w:p>
      <w:r>
        <w:t>调用本模块“神经鞘瘤周围神经肿瘤与神经根病”完整32项病种单元，并增加以下特异规则：神经束保留范围与实际病理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36" w:name="sec_36"/>
      <w:r>
        <w:t>周围神经肿瘤</w:t>
      </w:r>
      <w:bookmarkEnd w:id="136"/>
    </w:p>
    <w:p>
      <w:r>
        <w:t>调用本模块“神经鞘瘤周围神经肿瘤与神经根病”完整32项病种单元，并增加以下特异规则：神经鞘瘤之外实体和恶性鉴别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38" w:name="sec_38"/>
      <w:r>
        <w:t>神经根病变</w:t>
      </w:r>
      <w:bookmarkEnd w:id="138"/>
    </w:p>
    <w:p>
      <w:r>
        <w:t>调用本模块“神经鞘瘤周围神经肿瘤与神经根病”完整32项病种单元，并增加以下特异规则：根丛单神经定位与责任结构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40" w:name="sec_40"/>
      <w:r>
        <w:t>术后神经功能变化</w:t>
      </w:r>
      <w:bookmarkEnd w:id="140"/>
    </w:p>
    <w:p>
      <w:r>
        <w:t>调用本模块“急性脊髓损伤及骨折合并神经损伤”完整32项病种单元，并增加以下特异规则：新障碍即时排血肿缺血及机械压迫，联06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42" w:name="sec_42"/>
      <w:r>
        <w:t>其他神外脊柱脊髓病例</w:t>
      </w:r>
      <w:bookmarkEnd w:id="142"/>
    </w:p>
    <w:p>
      <w:r>
        <w:t>调用本模块“髓内及髓外椎管内肿瘤”完整32项病种单元，并增加以下特异规则：按真实病因另核指南，尊重院内骨科与神外分工。对于该变体的病程、查房、术前及出院模板，必须将上述差异作为本例需提取的独立证据字段，未提供不自动补阳性或阴性。</w:t>
      </w:r>
    </w:p>
    <w:p>
      <w:pPr>
        <w:pStyle w:val="Heading1"/>
      </w:pPr>
      <w:bookmarkStart w:id="144" w:name="sec_44"/>
      <w:r>
        <w:t>重要病种完整32项临床与文书单元</w:t>
      </w:r>
      <w:bookmarkEnd w:id="144"/>
    </w:p>
    <w:p>
      <w:pPr>
        <w:pStyle w:val="Heading2"/>
      </w:pPr>
      <w:bookmarkStart w:id="145" w:name="sec_45"/>
      <w:r>
        <w:t>退行性颈椎病与脊髓型颈椎病</w:t>
      </w:r>
      <w:bookmarkEnd w:id="145"/>
    </w:p>
    <w:p>
      <w:r>
        <w:t>01 疾病定义：颈椎退变致神经根或脊髓功能障碍，影像退变不等于症状责任。</w:t>
      </w:r>
    </w:p>
    <w:p>
      <w:r>
        <w:t>02 病因及发病机制：椎间盘骨赘韧带等压迫，动态因素和病程影响功能。</w:t>
      </w:r>
    </w:p>
    <w:p>
      <w:r>
        <w:t>03 临床表现：手笨步态异常肢体麻木无力、根性痛及重时括约肌。</w:t>
      </w:r>
    </w:p>
    <w:p>
      <w:r>
        <w:t>04 病史采集重点：症状进展、跌倒手部技能、既往治疗手术与活动基线。</w:t>
      </w:r>
    </w:p>
    <w:p>
      <w:r>
        <w:t>05 神经系统专科检查：上肢分肌群、下肢长束征、手功能步态感觉括约肌。</w:t>
      </w:r>
    </w:p>
    <w:p>
      <w:r>
        <w:t>06 神经定位诊断：脊髓与根受累分别定位；椎体水平和神经平面区分。</w:t>
      </w:r>
    </w:p>
    <w:p>
      <w:r>
        <w:t>07 定性诊断：临床髓/根表现与责任压迫一致，不能MRI狭窄即确诊髓病。影像、临床、术中和病理确定度分别表述。。</w:t>
      </w:r>
    </w:p>
    <w:p>
      <w:r>
        <w:t>08 实验室检查：围术期常规及合并病，其他病因检查按临床。</w:t>
      </w:r>
    </w:p>
    <w:p>
      <w:r>
        <w:t>09 影像检查：颈MRI压迫髓内信号，CT骨性与必要稳定性评估。</w:t>
      </w:r>
    </w:p>
    <w:p>
      <w:r>
        <w:t>10 诊断标准：临床髓/根表现与责任压迫一致，不能MRI狭窄即确诊髓病。只采用已核验且适用本例的标准，未满足必要项保留待定。。</w:t>
      </w:r>
    </w:p>
    <w:p>
      <w:r>
        <w:t>11 诊断依据：逐项对应本例症状进展、跌倒手部技能、既往治疗手术与活动基线、上肢分肌群、下肢长束征、手功能步态感觉括约肌与颈MRI压迫髓内信号，CT骨性与必要稳定性评估的实际资料；推理不能替代缺失检查。。</w:t>
      </w:r>
    </w:p>
    <w:p>
      <w:r>
        <w:t>12 鉴别诊断：运动神经元病、周围神经病、脊髓炎肿瘤和脑病。</w:t>
      </w:r>
    </w:p>
    <w:p>
      <w:r>
        <w:t>13 分型分级与危险程度：mJOA等需正式表完整变量；病程和进展独立风险。</w:t>
      </w:r>
    </w:p>
    <w:p>
      <w:r>
        <w:t>14 保守治疗原则：轻稳定或根性病例可选择观察康复，禁止在脊髓危险不明时盲目手法。</w:t>
      </w:r>
    </w:p>
    <w:p>
      <w:r>
        <w:t>15 手术适应性评估：功能障碍进展、压迫和稳定性、全身风险及替代权衡。</w:t>
      </w:r>
    </w:p>
    <w:p>
      <w:r>
        <w:t>16 常见术式：前路后路或联合减压及必要固定，尊重本院分工。实际方式以术者记录为准。。</w:t>
      </w:r>
    </w:p>
    <w:p>
      <w:r>
        <w:t>17 术前风险：新脊髓根损伤、吞咽喉返或硬膜损伤和固定风险。</w:t>
      </w:r>
    </w:p>
    <w:p>
      <w:r>
        <w:t>18 术后监测：逐肌群感觉步态括约肌、气道切口引流及影像。</w:t>
      </w:r>
    </w:p>
    <w:p>
      <w:r>
        <w:t>19 并发症：血肿急性压迫、C5等根功能问题、CSF漏感染不稳。</w:t>
      </w:r>
    </w:p>
    <w:p>
      <w:r>
        <w:t>20 首次病程模板</w:t>
      </w:r>
    </w:p>
    <w:p>
      <w:r>
        <w:t>以下结构模板中的变量只允许用本例真实资料替换；本文件各模板均遵守此规则，正式输出前删除全部未填变量。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症状进展、跌倒手部技能、既往治疗手术与活动基线的真实内容】；查体【上肢分肌群、下肢长束征、手功能步态感觉括约肌的实查与时间】；检查【颈MRI压迫髓内信号，CT骨性与必要稳定性评估的实际结果】。</w:t>
      </w:r>
    </w:p>
    <w:p>
      <w:pPr>
        <w:pStyle w:val="MedicalCode"/>
        <w:keepLines w:val="0"/>
      </w:pPr>
      <w:r>
        <w:t>初步诊断：【本例支持的退行性颈椎病与脊髓型颈椎病或待查诊断与程度】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鉴别诊断：【围绕运动神经元病、周围神经病、脊髓炎肿瘤和脑病的本例支持反对及缺项】</w:t>
      </w:r>
    </w:p>
    <w:p>
      <w:pPr>
        <w:pStyle w:val="MedicalCode"/>
        <w:keepLines w:val="0"/>
      </w:pPr>
      <w:r>
        <w:t>诊疗计划：【针对功能障碍进展、压迫和稳定性、全身风险及替代权衡的实际评估、治疗和复查计划】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逐肌群感觉步态括约肌、气道切口引流及影像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逐肌群感觉步态括约肌、气道切口引流及影像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脊髓与根受累分别定位；椎体水平和神经平面区分的本例证据】及【血肿急性压迫、C5等根功能问题、CSF漏感染不稳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功能障碍进展、压迫和稳定性、全身风险及替代权衡的个体获益风险】和【功能康复和影像内固定随访，活动许可按真实方案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简要病情与术前诊断：【支持程度和脊髓与根受累分别定位；椎体水平和神经平面区分对应事实】</w:t>
      </w:r>
    </w:p>
    <w:p>
      <w:pPr>
        <w:pStyle w:val="MedicalCode"/>
        <w:keepLines w:val="0"/>
      </w:pPr>
      <w:r>
        <w:t>适应性与目标：【本例功能障碍进展、压迫和稳定性、全身风险及替代权衡评估结论】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风险与准备：【新脊髓根损伤、吞咽喉返或硬膜损伤和固定风险相关个体风险、实际准备与缺项】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逐肌群感觉步态括约肌、气道切口引流及影像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血肿急性压迫、C5等根功能问题、CSF漏感染不稳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入院情况：【实际症状、脊髓与根受累分别定位；椎体水平和神经平面区分相关查体及检查】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出院安排：【功能康复和影像内固定随访，活动许可按真实方案对应实际决定】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本病随访：【针对功能康复和影像内固定随访，活动许可按真实方案的实际时间科室项目】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长期随访：功能康复和影像内固定随访，活动许可按真实方案。每次记录实际随访日期、方式、来源、功能及检查，失访不能当无复发。</w:t>
      </w:r>
    </w:p>
    <w:p>
      <w:r>
        <w:t>31 最终质控：核本病解剖和责任病灶、真实神经查体、mJOA等需正式表完整变量；病程和进展独立风险的变量来源；检查新脊髓根损伤、吞咽喉返或硬膜损伤和固定风险相关实际状态，禁止将风险写为已发生并发症。术前未手术不套术后模板，10终审。</w:t>
      </w:r>
    </w:p>
    <w:p>
      <w:r>
        <w:t>32 参考指南及版本：[SP01] International Standards for Neurological Classification of SCI Ninth Edition，2026，ASIA ISCoS；[SP02] AO Spine Praxis Clinical Practice Guidelines Acute Spinal Cord Injury，2024，AO Spine Praxis Spinal Cord Institute；[SP03] Spine Committee Recommendations，按各专题年份 官网核验2026，WFNS Spine Committee。核验日期2026年10月26日；适用范围与全文访问限制见本文件参考指南说明。</w:t>
      </w:r>
    </w:p>
    <w:p>
      <w:pPr>
        <w:pStyle w:val="Heading2"/>
      </w:pPr>
      <w:bookmarkStart w:id="199" w:name="sec_99"/>
      <w:r>
        <w:t>腰椎间盘突出与腰椎管狭窄</w:t>
      </w:r>
      <w:bookmarkEnd w:id="199"/>
    </w:p>
    <w:p>
      <w:r>
        <w:t>01 疾病定义：退变致神经根马尾受压的临床影像综合征。</w:t>
      </w:r>
    </w:p>
    <w:p>
      <w:r>
        <w:t>02 病因及发病机制：椎间盘韧带关节退变或其他结构，不能有突出就责任。</w:t>
      </w:r>
    </w:p>
    <w:p>
      <w:r>
        <w:t>03 临床表现：腰腿痛根性麻木无力、神经源性间歇跛行及马尾红旗。</w:t>
      </w:r>
    </w:p>
    <w:p>
      <w:r>
        <w:t>04 病史采集重点：疼痛分布行走距离缓解体位、尿潴留会阴麻及保守效果。</w:t>
      </w:r>
    </w:p>
    <w:p>
      <w:r>
        <w:t>05 神经系统专科检查：肌节肌力皮节感觉反射、步态及适用骶段括约肌。</w:t>
      </w:r>
    </w:p>
    <w:p>
      <w:r>
        <w:t>06 神经定位诊断：节段侧别、神经根与马尾；多节段需责任定位。</w:t>
      </w:r>
    </w:p>
    <w:p>
      <w:r>
        <w:t>07 定性诊断：症状体征与责任影像一致；跛行与血管性区别。影像、临床、术中和病理确定度分别表述。。</w:t>
      </w:r>
    </w:p>
    <w:p>
      <w:r>
        <w:t>08 实验室检查：常规及与感染肿瘤等鉴别相关检查。</w:t>
      </w:r>
    </w:p>
    <w:p>
      <w:r>
        <w:t>09 影像检查：腰MRI根马尾和硬膜囊、CT骨性和稳定性按需。</w:t>
      </w:r>
    </w:p>
    <w:p>
      <w:r>
        <w:t>10 诊断标准：症状体征与责任影像一致；跛行与血管性区别。只采用已核验且适用本例的标准，未满足必要项保留待定。。</w:t>
      </w:r>
    </w:p>
    <w:p>
      <w:r>
        <w:t>11 诊断依据：逐项对应本例疼痛分布行走距离缓解体位、尿潴留会阴麻及保守效果、肌节肌力皮节感觉反射、步态及适用骶段括约肌与腰MRI根马尾和硬膜囊、CT骨性和稳定性按需的实际资料；推理不能替代缺失检查。。</w:t>
      </w:r>
    </w:p>
    <w:p>
      <w:r>
        <w:t>12 鉴别诊断：髋病、血管性跛行、周围神经病、肿瘤感染。</w:t>
      </w:r>
    </w:p>
    <w:p>
      <w:r>
        <w:t>13 分型分级与危险程度：功能量表按适用正式表；马尾症状不能等常规择期。</w:t>
      </w:r>
    </w:p>
    <w:p>
      <w:r>
        <w:t>14 保守治疗原则：无红旗病例个体保守与康复，不能复制颅内脱水方案。</w:t>
      </w:r>
    </w:p>
    <w:p>
      <w:r>
        <w:t>15 手术适应性评估：进行性运动损害、马尾危险或难治症状，减压与稳定需求。</w:t>
      </w:r>
    </w:p>
    <w:p>
      <w:r>
        <w:t>16 常见术式：显微或内镜等实际减压椎间盘处理，融合固定需独立依据。实际方式以术者记录为准。。</w:t>
      </w:r>
    </w:p>
    <w:p>
      <w:r>
        <w:t>17 术前风险：神经根损伤、硬膜漏、血肿残留复发与不稳。</w:t>
      </w:r>
    </w:p>
    <w:p>
      <w:r>
        <w:t>18 术后监测：腿痛分肌群、会阴排尿便、切口及引流。</w:t>
      </w:r>
    </w:p>
    <w:p>
      <w:r>
        <w:t>19 并发症：血肿压迫、CSF漏感染和持续神经缺损。</w:t>
      </w:r>
    </w:p>
    <w:p>
      <w:r>
        <w:t>20 首次病程模板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疼痛分布行走距离缓解体位、尿潴留会阴麻及保守效果的真实内容】；查体【肌节肌力皮节感觉反射、步态及适用骶段括约肌的实查与时间】；检查【腰MRI根马尾和硬膜囊、CT骨性和稳定性按需的实际结果】。</w:t>
      </w:r>
    </w:p>
    <w:p>
      <w:pPr>
        <w:pStyle w:val="MedicalCode"/>
        <w:keepLines w:val="0"/>
      </w:pPr>
      <w:r>
        <w:t>初步诊断：【本例支持的腰椎间盘突出与腰椎管狭窄或待查诊断与程度】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鉴别诊断：【围绕髋病、血管性跛行、周围神经病、肿瘤感染的本例支持反对及缺项】</w:t>
      </w:r>
    </w:p>
    <w:p>
      <w:pPr>
        <w:pStyle w:val="MedicalCode"/>
        <w:keepLines w:val="0"/>
      </w:pPr>
      <w:r>
        <w:t>诊疗计划：【针对进行性运动损害、马尾危险或难治症状，减压与稳定需求的实际评估、治疗和复查计划】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腿痛分肌群、会阴排尿便、切口及引流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腿痛分肌群、会阴排尿便、切口及引流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节段侧别、神经根与马尾；多节段需责任定位的本例证据】及【血肿压迫、CSF漏感染和持续神经缺损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进行性运动损害、马尾危险或难治症状，减压与稳定需求的个体获益风险】和【功能活动、复发及固定随访，不能术后默认负重限制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简要病情与术前诊断：【支持程度和节段侧别、神经根与马尾；多节段需责任定位对应事实】</w:t>
      </w:r>
    </w:p>
    <w:p>
      <w:pPr>
        <w:pStyle w:val="MedicalCode"/>
        <w:keepLines w:val="0"/>
      </w:pPr>
      <w:r>
        <w:t>适应性与目标：【本例进行性运动损害、马尾危险或难治症状，减压与稳定需求评估结论】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风险与准备：【神经根损伤、硬膜漏、血肿残留复发与不稳相关个体风险、实际准备与缺项】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腿痛分肌群、会阴排尿便、切口及引流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血肿压迫、CSF漏感染和持续神经缺损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入院情况：【实际症状、节段侧别、神经根与马尾；多节段需责任定位相关查体及检查】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出院安排：【功能活动、复发及固定随访，不能术后默认负重限制对应实际决定】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本病随访：【针对功能活动、复发及固定随访，不能术后默认负重限制的实际时间科室项目】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长期随访：功能活动、复发及固定随访，不能术后默认负重限制。每次记录实际随访日期、方式、来源、功能及检查，失访不能当无复发。</w:t>
      </w:r>
    </w:p>
    <w:p>
      <w:r>
        <w:t>31 最终质控：核本病解剖和责任病灶、真实神经查体、功能量表按适用正式表；马尾症状不能等常规择期的变量来源；检查神经根损伤、硬膜漏、血肿残留复发与不稳相关实际状态，禁止将风险写为已发生并发症。术前未手术不套术后模板，10终审。</w:t>
      </w:r>
    </w:p>
    <w:p>
      <w:r>
        <w:t>32 参考指南及版本：[SP01] International Standards for Neurological Classification of SCI Ninth Edition，2026，ASIA ISCoS；[SP02] AO Spine Praxis Clinical Practice Guidelines Acute Spinal Cord Injury，2024，AO Spine Praxis Spinal Cord Institute；[SP03] Spine Committee Recommendations，按各专题年份 官网核验2026，WFNS Spine Committee。核验日期2026年10月26日；适用范围与全文访问限制见本文件参考指南说明。</w:t>
      </w:r>
    </w:p>
    <w:p>
      <w:pPr>
        <w:pStyle w:val="Heading2"/>
      </w:pPr>
      <w:bookmarkStart w:id="252" w:name="sec_152"/>
      <w:r>
        <w:t>髓内及髓外椎管内肿瘤</w:t>
      </w:r>
      <w:bookmarkEnd w:id="252"/>
    </w:p>
    <w:p>
      <w:r>
        <w:t>01 疾病定义：脊髓实质或硬膜内外肿瘤，间隙决定手术和功能风险。</w:t>
      </w:r>
    </w:p>
    <w:p>
      <w:r>
        <w:t>02 病因及发病机制：多种组织实体，髓内常见与髓外常见不能代本例病理。</w:t>
      </w:r>
    </w:p>
    <w:p>
      <w:r>
        <w:t>03 临床表现：进行性无力感觉平面根痛步态与括约肌。</w:t>
      </w:r>
    </w:p>
    <w:p>
      <w:r>
        <w:t>04 病史采集重点：进展速度夜痛、肿瘤史既往手术及功能。</w:t>
      </w:r>
    </w:p>
    <w:p>
      <w:r>
        <w:t>05 神经系统专科检查：左右关键肌、感觉平面、长束及骶段、排尿排便。</w:t>
      </w:r>
    </w:p>
    <w:p>
      <w:r>
        <w:t>06 神经定位诊断：髓内、髓外硬膜内、硬膜外与根；椎体与脊髓节段分开。</w:t>
      </w:r>
    </w:p>
    <w:p>
      <w:r>
        <w:t>07 定性诊断：影像定位组织待定，正式病理按WHO适用实体。影像、临床、术中和病理确定度分别表述。。</w:t>
      </w:r>
    </w:p>
    <w:p>
      <w:r>
        <w:t>08 实验室检查：常规凝血与组织/病因相关检查。</w:t>
      </w:r>
    </w:p>
    <w:p>
      <w:r>
        <w:t>09 影像检查：增强MRI病变长径、脊髓膨大受压、空洞和骨性稳定。</w:t>
      </w:r>
    </w:p>
    <w:p>
      <w:r>
        <w:t>10 诊断标准：影像定位组织待定，正式病理按WHO适用实体。只采用已核验且适用本例的标准，未满足必要项保留待定。。</w:t>
      </w:r>
    </w:p>
    <w:p>
      <w:r>
        <w:t>11 诊断依据：逐项对应本例进展速度夜痛、肿瘤史既往手术及功能、左右关键肌、感觉平面、长束及骶段、排尿排便与增强MRI病变长径、脊髓膨大受压、空洞和骨性稳定的实际资料；推理不能替代缺失检查。。</w:t>
      </w:r>
    </w:p>
    <w:p>
      <w:r>
        <w:t>12 鉴别诊断：炎症、脊髓血管畸形、脓肿、退变和转移。</w:t>
      </w:r>
    </w:p>
    <w:p>
      <w:r>
        <w:t>13 分型分级与危险程度：病理级别依组织；神经功能分级需真实完整数据。</w:t>
      </w:r>
    </w:p>
    <w:p>
      <w:r>
        <w:t>14 保守治疗原则：症状支持并评组织与减压，不能无病理套化疗。</w:t>
      </w:r>
    </w:p>
    <w:p>
      <w:r>
        <w:t>15 手术适应性评估：进展压迫、组织需要、髓内分离界面功能和可切除风险。</w:t>
      </w:r>
    </w:p>
    <w:p>
      <w:r>
        <w:t>16 常见术式：髓内肿瘤或椎管内肿瘤切除、必要活检与稳定措施。实际方式以术者记录为准。。</w:t>
      </w:r>
    </w:p>
    <w:p>
      <w:r>
        <w:t>17 术前风险：脊髓血供和长束损害、根损伤CSF漏及术后不稳。</w:t>
      </w:r>
    </w:p>
    <w:p>
      <w:r>
        <w:t>18 术后监测：逐肌群感觉骶段括约肌、影像压迫、术中监测仅按真实。</w:t>
      </w:r>
    </w:p>
    <w:p>
      <w:r>
        <w:t>19 并发症：新缺损、椎管内血肿、缺血、漏感染和复发。</w:t>
      </w:r>
    </w:p>
    <w:p>
      <w:r>
        <w:t>20 首次病程模板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进展速度夜痛、肿瘤史既往手术及功能的真实内容】；查体【左右关键肌、感觉平面、长束及骶段、排尿排便的实查与时间】；检查【增强MRI病变长径、脊髓膨大受压、空洞和骨性稳定的实际结果】。</w:t>
      </w:r>
    </w:p>
    <w:p>
      <w:pPr>
        <w:pStyle w:val="MedicalCode"/>
        <w:keepLines w:val="0"/>
      </w:pPr>
      <w:r>
        <w:t>初步诊断：【本例支持的髓内及髓外椎管内肿瘤或待查诊断与程度】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鉴别诊断：【围绕炎症、脊髓血管畸形、脓肿、退变和转移的本例支持反对及缺项】</w:t>
      </w:r>
    </w:p>
    <w:p>
      <w:pPr>
        <w:pStyle w:val="MedicalCode"/>
        <w:keepLines w:val="0"/>
      </w:pPr>
      <w:r>
        <w:t>诊疗计划：【针对进展压迫、组织需要、髓内分离界面功能和可切除风险的实际评估、治疗和复查计划】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逐肌群感觉骶段括约肌、影像压迫、术中监测仅按真实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逐肌群感觉骶段括约肌、影像压迫、术中监测仅按真实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髓内、髓外硬膜内、硬膜外与根；椎体与脊髓节段分开的本例证据】及【新缺损、椎管内血肿、缺血、漏感染和复发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进展压迫、组织需要、髓内分离界面功能和可切除风险的个体获益风险】和【病理残留复发、神经康复排尿功能和稳定性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简要病情与术前诊断：【支持程度和髓内、髓外硬膜内、硬膜外与根；椎体与脊髓节段分开对应事实】</w:t>
      </w:r>
    </w:p>
    <w:p>
      <w:pPr>
        <w:pStyle w:val="MedicalCode"/>
        <w:keepLines w:val="0"/>
      </w:pPr>
      <w:r>
        <w:t>适应性与目标：【本例进展压迫、组织需要、髓内分离界面功能和可切除风险评估结论】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风险与准备：【脊髓血供和长束损害、根损伤CSF漏及术后不稳相关个体风险、实际准备与缺项】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逐肌群感觉骶段括约肌、影像压迫、术中监测仅按真实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新缺损、椎管内血肿、缺血、漏感染和复发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入院情况：【实际症状、髓内、髓外硬膜内、硬膜外与根；椎体与脊髓节段分开相关查体及检查】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出院安排：【病理残留复发、神经康复排尿功能和稳定性对应实际决定】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本病随访：【针对病理残留复发、神经康复排尿功能和稳定性的实际时间科室项目】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长期随访：病理残留复发、神经康复排尿功能和稳定性。每次记录实际随访日期、方式、来源、功能及检查，失访不能当无复发。</w:t>
      </w:r>
    </w:p>
    <w:p>
      <w:r>
        <w:t>31 最终质控：核本病解剖和责任病灶、真实神经查体、病理级别依组织；神经功能分级需真实完整数据的变量来源；检查脊髓血供和长束损害、根损伤CSF漏及术后不稳相关实际状态，禁止将风险写为已发生并发症。术前未手术不套术后模板，10终审。</w:t>
      </w:r>
    </w:p>
    <w:p>
      <w:r>
        <w:t>32 参考指南及版本：[N01] Central Nervous System Tumours WHO Classification Fifth Edition Volume 6，2021，WHO Classification of Tumours Editorial Board IARC；[N05] EANO Guidelines Ependymal Tumors，2017在线/2018卷期，EANO；[SP01] International Standards for Neurological Classification of SCI Ninth Edition，2026，ASIA ISCoS；[SP03] Spine Committee Recommendations，按各专题年份 官网核验2026，WFNS Spine Committee。核验日期2026年10月26日；适用范围与全文访问限制见本文件参考指南说明。</w:t>
      </w:r>
    </w:p>
    <w:p>
      <w:pPr>
        <w:pStyle w:val="Heading2"/>
      </w:pPr>
      <w:bookmarkStart w:id="305" w:name="sec_205"/>
      <w:r>
        <w:t>急性脊髓损伤及骨折合并神经损伤</w:t>
      </w:r>
      <w:bookmarkEnd w:id="305"/>
    </w:p>
    <w:p>
      <w:r>
        <w:t>01 疾病定义：创伤性脊髓/马尾功能损伤可伴骨折或无明显骨性损伤。</w:t>
      </w:r>
    </w:p>
    <w:p>
      <w:r>
        <w:t>02 病因及发病机制：直接压迫牵拉、血供损害和继发损伤；脊髓休克可掩反射。</w:t>
      </w:r>
    </w:p>
    <w:p>
      <w:r>
        <w:t>03 临床表现：瘫痪感觉平面呼吸和括约肌问题，依节段。</w:t>
      </w:r>
    </w:p>
    <w:p>
      <w:r>
        <w:t>04 病史采集重点：伤时机制、多发伤低压低氧、转运固定和神经变化。</w:t>
      </w:r>
    </w:p>
    <w:p>
      <w:r>
        <w:t>05 神经系统专科检查：ISNCSCI实际变量、骶段、关键肌感觉、呼吸循环和伴伤。</w:t>
      </w:r>
    </w:p>
    <w:p>
      <w:r>
        <w:t>06 神经定位诊断：NLI与骨折椎体节段不同，根马尾与脊髓区分。</w:t>
      </w:r>
    </w:p>
    <w:p>
      <w:r>
        <w:t>07 定性诊断：创伤和真实神经证据，排颅脑药物周围损伤干扰。影像、临床、术中和病理确定度分别表述。。</w:t>
      </w:r>
    </w:p>
    <w:p>
      <w:r>
        <w:t>08 实验室检查：血气凝血血常规电解质及损伤器官基线。</w:t>
      </w:r>
    </w:p>
    <w:p>
      <w:r>
        <w:t>09 影像检查：CT骨折稳定性、MRI脊髓压迫出血韧带，不能仅骨片分神经级。</w:t>
      </w:r>
    </w:p>
    <w:p>
      <w:r>
        <w:t>10 诊断标准：创伤和真实神经证据，排颅脑药物周围损伤干扰。只采用已核验且适用本例的标准，未满足必要项保留待定。。</w:t>
      </w:r>
    </w:p>
    <w:p>
      <w:r>
        <w:t>11 诊断依据：逐项对应本例伤时机制、多发伤低压低氧、转运固定和神经变化、ISNCSCI实际变量、骶段、关键肌感觉、呼吸循环和伴伤与CT骨折稳定性、MRI脊髓压迫出血韧带，不能仅骨片分神经级的实际资料；推理不能替代缺失检查。。</w:t>
      </w:r>
    </w:p>
    <w:p>
      <w:r>
        <w:t>12 鉴别诊断：脊髓休克、周围根丛损伤、卒中和非创伤性脊髓病。</w:t>
      </w:r>
    </w:p>
    <w:p>
      <w:r>
        <w:t>13 分型分级与危险程度：AIS用完整正式工作表及版本；缺骶段不定A，不从MRI推完全损伤。</w:t>
      </w:r>
    </w:p>
    <w:p>
      <w:r>
        <w:t>14 保守治疗原则：全身复苏保护脊柱防继发损伤，血流目标按适用方案不机械复制。</w:t>
      </w:r>
    </w:p>
    <w:p>
      <w:r>
        <w:t>15 手术适应性评估：持续压迫不稳、神经进展和全身条件、时机获益风险。</w:t>
      </w:r>
    </w:p>
    <w:p>
      <w:r>
        <w:t>16 常见术式：真实减压复位固定，不能把骨折标准固定套所有SCI。实际方式以术者记录为准。。</w:t>
      </w:r>
    </w:p>
    <w:p>
      <w:r>
        <w:t>17 术前风险：继发恶化、呼吸循环问题与多发伤、置入风险。</w:t>
      </w:r>
    </w:p>
    <w:p>
      <w:r>
        <w:t>18 术后监测：分时神经平面和呼吸灌注、压伤VTE和膀胱肠道。</w:t>
      </w:r>
    </w:p>
    <w:p>
      <w:r>
        <w:t>19 并发症：神经恶化血肿、呼吸衰竭自主异常和感染。</w:t>
      </w:r>
    </w:p>
    <w:p>
      <w:r>
        <w:t>20 首次病程模板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伤时机制、多发伤低压低氧、转运固定和神经变化的真实内容】；查体【ISNCSCI实际变量、骶段、关键肌感觉、呼吸循环和伴伤的实查与时间】；检查【CT骨折稳定性、MRI脊髓压迫出血韧带，不能仅骨片分神经级的实际结果】。</w:t>
      </w:r>
    </w:p>
    <w:p>
      <w:pPr>
        <w:pStyle w:val="MedicalCode"/>
        <w:keepLines w:val="0"/>
      </w:pPr>
      <w:r>
        <w:t>初步诊断：【本例支持的急性脊髓损伤及骨折合并神经损伤或待查诊断与程度】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鉴别诊断：【围绕脊髓休克、周围根丛损伤、卒中和非创伤性脊髓病的本例支持反对及缺项】</w:t>
      </w:r>
    </w:p>
    <w:p>
      <w:pPr>
        <w:pStyle w:val="MedicalCode"/>
        <w:keepLines w:val="0"/>
      </w:pPr>
      <w:r>
        <w:t>诊疗计划：【针对持续压迫不稳、神经进展和全身条件、时机获益风险的实际评估、治疗和复查计划】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分时神经平面和呼吸灌注、压伤VTE和膀胱肠道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分时神经平面和呼吸灌注、压伤VTE和膀胱肠道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NLI与骨折椎体节段不同，根马尾与脊髓区分的本例证据】及【神经恶化血肿、呼吸衰竭自主异常和感染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持续压迫不稳、神经进展和全身条件、时机获益风险的个体获益风险】和【分阶段康复自主功能照护和固定状态随访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简要病情与术前诊断：【支持程度和NLI与骨折椎体节段不同，根马尾与脊髓区分对应事实】</w:t>
      </w:r>
    </w:p>
    <w:p>
      <w:pPr>
        <w:pStyle w:val="MedicalCode"/>
        <w:keepLines w:val="0"/>
      </w:pPr>
      <w:r>
        <w:t>适应性与目标：【本例持续压迫不稳、神经进展和全身条件、时机获益风险评估结论】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风险与准备：【继发恶化、呼吸循环问题与多发伤、置入风险相关个体风险、实际准备与缺项】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分时神经平面和呼吸灌注、压伤VTE和膀胱肠道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神经恶化血肿、呼吸衰竭自主异常和感染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入院情况：【实际症状、NLI与骨折椎体节段不同，根马尾与脊髓区分相关查体及检查】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出院安排：【分阶段康复自主功能照护和固定状态随访对应实际决定】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本病随访：【针对分阶段康复自主功能照护和固定状态随访的实际时间科室项目】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长期随访：分阶段康复自主功能照护和固定状态随访。每次记录实际随访日期、方式、来源、功能及检查，失访不能当无复发。</w:t>
      </w:r>
    </w:p>
    <w:p>
      <w:r>
        <w:t>31 最终质控：核本病解剖和责任病灶、真实神经查体、AIS用完整正式工作表及版本；缺骶段不定A，不从MRI推完全损伤的变量来源；检查继发恶化、呼吸循环问题与多发伤、置入风险相关实际状态，禁止将风险写为已发生并发症。术前未手术不套术后模板，10终审。</w:t>
      </w:r>
    </w:p>
    <w:p>
      <w:r>
        <w:t>32 参考指南及版本：[SP01] International Standards for Neurological Classification of SCI Ninth Edition，2026，ASIA ISCoS；[SP02] AO Spine Praxis Clinical Practice Guidelines Acute Spinal Cord Injury，2024，AO Spine Praxis Spinal Cord Institute；[SP03] Spine Committee Recommendations，按各专题年份 官网核验2026，WFNS Spine Committee。核验日期2026年10月26日；适用范围与全文访问限制见本文件参考指南说明。</w:t>
      </w:r>
    </w:p>
    <w:p>
      <w:pPr>
        <w:pStyle w:val="Heading2"/>
      </w:pPr>
      <w:bookmarkStart w:id="358" w:name="sec_258"/>
      <w:r>
        <w:t>脊髓空洞与脊髓血管性病变</w:t>
      </w:r>
      <w:bookmarkEnd w:id="358"/>
    </w:p>
    <w:p>
      <w:r>
        <w:t>01 疾病定义：空洞为髓内液体腔表现，血管病变为不同病因可致脊髓损伤。</w:t>
      </w:r>
    </w:p>
    <w:p>
      <w:r>
        <w:t>02 病因及发病机制：Chiari、栓系、肿瘤创伤或血管分流等需分别查因。</w:t>
      </w:r>
    </w:p>
    <w:p>
      <w:r>
        <w:t>03 临床表现：分离性感觉、无力肌萎步态或进行性髓病。</w:t>
      </w:r>
    </w:p>
    <w:p>
      <w:r>
        <w:t>04 病史采集重点：进展、颅颈及既往创伤手术、排尿和症状波动。</w:t>
      </w:r>
    </w:p>
    <w:p>
      <w:r>
        <w:t>05 神经系统专科检查：痛温触深感觉分布、肌萎肌力反射步态括约肌。</w:t>
      </w:r>
    </w:p>
    <w:p>
      <w:r>
        <w:t>06 神经定位诊断：空洞上下范围与Chiari/占位；瘘口和脊髓静脉高压定位。</w:t>
      </w:r>
    </w:p>
    <w:p>
      <w:r>
        <w:t>07 定性诊断：空洞影像不等病因，血管瘘需真实结构证据。影像、临床、术中和病理确定度分别表述。。</w:t>
      </w:r>
    </w:p>
    <w:p>
      <w:r>
        <w:t>08 实验室检查：常规及具体病因相关检查。</w:t>
      </w:r>
    </w:p>
    <w:p>
      <w:r>
        <w:t>09 影像检查：全脊髓MRI及颅颈交界，疑血管病变选择性造影按实际。</w:t>
      </w:r>
    </w:p>
    <w:p>
      <w:r>
        <w:t>10 诊断标准：空洞影像不等病因，血管瘘需真实结构证据。只采用已核验且适用本例的标准，未满足必要项保留待定。。</w:t>
      </w:r>
    </w:p>
    <w:p>
      <w:r>
        <w:t>11 诊断依据：逐项对应本例进展、颅颈及既往创伤手术、排尿和症状波动、痛温触深感觉分布、肌萎肌力反射步态括约肌与全脊髓MRI及颅颈交界，疑血管病变选择性造影按实际的实际资料；推理不能替代缺失检查。。</w:t>
      </w:r>
    </w:p>
    <w:p>
      <w:r>
        <w:t>12 鉴别诊断：髓内肿瘤炎症退变髓病和脊髓梗死。</w:t>
      </w:r>
    </w:p>
    <w:p>
      <w:r>
        <w:t>13 分型分级与危险程度：空洞长度不自动等功能严重；血管病按类型结构非脑AVM盲分。</w:t>
      </w:r>
    </w:p>
    <w:p>
      <w:r>
        <w:t>14 保守治疗原则：按病因和进展个体观察与支持，不能仅空洞见液体就分流。</w:t>
      </w:r>
    </w:p>
    <w:p>
      <w:r>
        <w:t>15 手术适应性评估：功能进展、病因可纠正与血管危险及可达性。</w:t>
      </w:r>
    </w:p>
    <w:p>
      <w:r>
        <w:t>16 常见术式：针对Chiari栓系或肿瘤处理、血管瘘离断/栓塞及特定空洞操作。实际方式以术者记录为准。。</w:t>
      </w:r>
    </w:p>
    <w:p>
      <w:r>
        <w:t>17 术前风险：脊髓缺血、静脉回流改变、CSF漏及病因未解。</w:t>
      </w:r>
    </w:p>
    <w:p>
      <w:r>
        <w:t>18 术后监测：感觉运动括约肌和空洞/血管影像，对应实际术式。</w:t>
      </w:r>
    </w:p>
    <w:p>
      <w:r>
        <w:t>19 并发症：新缺损、残余分流、出血及空洞进展。</w:t>
      </w:r>
    </w:p>
    <w:p>
      <w:r>
        <w:t>20 首次病程模板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进展、颅颈及既往创伤手术、排尿和症状波动的真实内容】；查体【痛温触深感觉分布、肌萎肌力反射步态括约肌的实查与时间】；检查【全脊髓MRI及颅颈交界，疑血管病变选择性造影按实际的实际结果】。</w:t>
      </w:r>
    </w:p>
    <w:p>
      <w:pPr>
        <w:pStyle w:val="MedicalCode"/>
        <w:keepLines w:val="0"/>
      </w:pPr>
      <w:r>
        <w:t>初步诊断：【本例支持的脊髓空洞与脊髓血管性病变或待查诊断与程度】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鉴别诊断：【围绕髓内肿瘤炎症退变髓病和脊髓梗死的本例支持反对及缺项】</w:t>
      </w:r>
    </w:p>
    <w:p>
      <w:pPr>
        <w:pStyle w:val="MedicalCode"/>
        <w:keepLines w:val="0"/>
      </w:pPr>
      <w:r>
        <w:t>诊疗计划：【针对功能进展、病因可纠正与血管危险及可达性的实际评估、治疗和复查计划】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感觉运动括约肌和空洞/血管影像，对应实际术式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感觉运动括约肌和空洞/血管影像，对应实际术式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空洞上下范围与Chiari/占位；瘘口和脊髓静脉高压定位的本例证据】及【新缺损、残余分流、出血及空洞进展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功能进展、病因可纠正与血管危险及可达性的个体获益风险】和【病因影像与功能长期对照，症状改善不证明瘘已闭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简要病情与术前诊断：【支持程度和空洞上下范围与Chiari/占位；瘘口和脊髓静脉高压定位对应事实】</w:t>
      </w:r>
    </w:p>
    <w:p>
      <w:pPr>
        <w:pStyle w:val="MedicalCode"/>
        <w:keepLines w:val="0"/>
      </w:pPr>
      <w:r>
        <w:t>适应性与目标：【本例功能进展、病因可纠正与血管危险及可达性评估结论】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风险与准备：【脊髓缺血、静脉回流改变、CSF漏及病因未解相关个体风险、实际准备与缺项】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感觉运动括约肌和空洞/血管影像，对应实际术式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新缺损、残余分流、出血及空洞进展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入院情况：【实际症状、空洞上下范围与Chiari/占位；瘘口和脊髓静脉高压定位相关查体及检查】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出院安排：【病因影像与功能长期对照，症状改善不证明瘘已闭对应实际决定】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本病随访：【针对病因影像与功能长期对照，症状改善不证明瘘已闭的实际时间科室项目】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长期随访：病因影像与功能长期对照，症状改善不证明瘘已闭。每次记录实际随访日期、方式、来源、功能及检查，失访不能当无复发。</w:t>
      </w:r>
    </w:p>
    <w:p>
      <w:r>
        <w:t>31 最终质控：核本病解剖和责任病灶、真实神经查体、空洞长度不自动等功能严重；血管病按类型结构非脑AVM盲分的变量来源；检查脊髓缺血、静脉回流改变、CSF漏及病因未解相关实际状态，禁止将风险写为已发生并发症。术前未手术不套术后模板，10终审。</w:t>
      </w:r>
    </w:p>
    <w:p>
      <w:r>
        <w:t>32 参考指南及版本：[SP01] International Standards for Neurological Classification of SCI Ninth Edition，2026，ASIA ISCoS；[SP02] AO Spine Praxis Clinical Practice Guidelines Acute Spinal Cord Injury，2024，AO Spine Praxis Spinal Cord Institute；[P02] Evidence Based Guidelines for Patients With Chiari Malformation，2023，CNS AANS Bobby Jones CSF；[V02] Cerebrovascular Statements and Guidelines，官网目录 核验2026，AANS CNS Cerebrovascular Section。核验日期2026年10月26日；适用范围与全文访问限制见本文件参考指南说明。</w:t>
      </w:r>
    </w:p>
    <w:p>
      <w:pPr>
        <w:pStyle w:val="Heading2"/>
      </w:pPr>
      <w:bookmarkStart w:id="411" w:name="sec_311"/>
      <w:r>
        <w:t>脊髓感染相关外科病例</w:t>
      </w:r>
      <w:bookmarkEnd w:id="411"/>
    </w:p>
    <w:p>
      <w:r>
        <w:t>01 疾病定义：脊椎硬膜外或脊髓相关感染可致神经压迫。</w:t>
      </w:r>
    </w:p>
    <w:p>
      <w:r>
        <w:t>02 病因及发病机制：血行、邻近感染或手术装置相关，不以背痛发热单独确诊。</w:t>
      </w:r>
    </w:p>
    <w:p>
      <w:r>
        <w:t>03 临床表现：背痛、发热或无发热、神经下降与括约肌。</w:t>
      </w:r>
    </w:p>
    <w:p>
      <w:r>
        <w:t>04 病史采集重点：感染源菌血症免疫抑制、手术装置和抗菌暴露。</w:t>
      </w:r>
    </w:p>
    <w:p>
      <w:r>
        <w:t>05 神经系统专科检查：运动感觉平面、骶段括约肌、局部切口与循环。</w:t>
      </w:r>
    </w:p>
    <w:p>
      <w:r>
        <w:t>06 神经定位诊断：椎体椎间盘硬膜外及髓内位置、受压与稳定性。</w:t>
      </w:r>
    </w:p>
    <w:p>
      <w:r>
        <w:t>07 定性诊断：临床影像病原综合，术后改变和感染区别。影像、临床、术中和病理确定度分别表述。。</w:t>
      </w:r>
    </w:p>
    <w:p>
      <w:r>
        <w:t>08 实验室检查：炎症血培养和实际组织病原，先后用药时间。</w:t>
      </w:r>
    </w:p>
    <w:p>
      <w:r>
        <w:t>09 影像检查：增强MRI压迫脓腔与骨性破坏，CT按需。</w:t>
      </w:r>
    </w:p>
    <w:p>
      <w:r>
        <w:t>10 诊断标准：临床影像病原综合，术后改变和感染区别。只采用已核验且适用本例的标准，未满足必要项保留待定。。</w:t>
      </w:r>
    </w:p>
    <w:p>
      <w:r>
        <w:t>11 诊断依据：逐项对应本例感染源菌血症免疫抑制、手术装置和抗菌暴露、运动感觉平面、骶段括约肌、局部切口与循环与增强MRI压迫脓腔与骨性破坏，CT按需的实际资料；推理不能替代缺失检查。。</w:t>
      </w:r>
    </w:p>
    <w:p>
      <w:r>
        <w:t>12 鉴别诊断：肿瘤、退变、无菌炎症和血肿。</w:t>
      </w:r>
    </w:p>
    <w:p>
      <w:r>
        <w:t>13 分型分级与危险程度：危险取决神经压迫脓腔稳定性及脓毒症，不由PCT单值。</w:t>
      </w:r>
    </w:p>
    <w:p>
      <w:r>
        <w:t>14 保守治疗原则：抗感染与病源控制协作，培养前后和药敏据真实状态。</w:t>
      </w:r>
    </w:p>
    <w:p>
      <w:r>
        <w:t>15 手术适应性评估：进行性神经损伤、压迫脓腔、不稳或病源控制失败。</w:t>
      </w:r>
    </w:p>
    <w:p>
      <w:r>
        <w:t>16 常见术式：减压引流清创取材及稳定重建按实际分工。实际方式以术者记录为准。。</w:t>
      </w:r>
    </w:p>
    <w:p>
      <w:r>
        <w:t>17 术前风险：脊髓恶化、感染扩散、失稳及植入感染。</w:t>
      </w:r>
    </w:p>
    <w:p>
      <w:r>
        <w:t>18 术后监测：神经、感染血流和切口装置、病原响应。</w:t>
      </w:r>
    </w:p>
    <w:p>
      <w:r>
        <w:t>19 并发症：复发感染血肿CSF漏和神经缺损。</w:t>
      </w:r>
    </w:p>
    <w:p>
      <w:r>
        <w:t>20 首次病程模板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病例特点：【本次感染源菌血症免疫抑制、手术装置和抗菌暴露的真实内容】；查体【运动感觉平面、骶段括约肌、局部切口与循环的实查与时间】；检查【增强MRI压迫脓腔与骨性破坏，CT按需的实际结果】。</w:t>
      </w:r>
    </w:p>
    <w:p>
      <w:pPr>
        <w:pStyle w:val="MedicalCode"/>
        <w:keepLines w:val="0"/>
      </w:pPr>
      <w:r>
        <w:t>初步诊断：【本例支持的脊髓感染相关外科病例或待查诊断与程度】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鉴别诊断：【围绕肿瘤、退变、无菌炎症和血肿的本例支持反对及缺项】</w:t>
      </w:r>
    </w:p>
    <w:p>
      <w:pPr>
        <w:pStyle w:val="MedicalCode"/>
        <w:keepLines w:val="0"/>
      </w:pPr>
      <w:r>
        <w:t>诊疗计划：【针对进行性神经损伤、压迫脓腔、不稳或病源控制失败的实际评估、治疗和复查计划】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神经、感染血流和切口装置、病原响应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神经、感染血流和切口装置、病原响应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椎体椎间盘硬膜外及髓内位置、受压与稳定性的本例证据】及【复发感染血肿CSF漏和神经缺损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进行性神经损伤、压迫脓腔、不稳或病源控制失败的个体获益风险】和【疗程责任、病原结果及神经稳定性康复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简要病情与术前诊断：【支持程度和椎体椎间盘硬膜外及髓内位置、受压与稳定性对应事实】</w:t>
      </w:r>
    </w:p>
    <w:p>
      <w:pPr>
        <w:pStyle w:val="MedicalCode"/>
        <w:keepLines w:val="0"/>
      </w:pPr>
      <w:r>
        <w:t>适应性与目标：【本例进行性神经损伤、压迫脓腔、不稳或病源控制失败评估结论】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风险与准备：【脊髓恶化、感染扩散、失稳及植入感染相关个体风险、实际准备与缺项】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神经、感染血流和切口装置、病原响应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复发感染血肿CSF漏和神经缺损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入院情况：【实际症状、椎体椎间盘硬膜外及髓内位置、受压与稳定性相关查体及检查】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出院安排：【疗程责任、病原结果及神经稳定性康复对应实际决定】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本病随访：【针对疗程责任、病原结果及神经稳定性康复的实际时间科室项目】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长期随访：疗程责任、病原结果及神经稳定性康复。每次记录实际随访日期、方式、来源、功能及检查，失访不能当无复发。</w:t>
      </w:r>
    </w:p>
    <w:p>
      <w:r>
        <w:t>31 最终质控：核本病解剖和责任病灶、真实神经查体、危险取决神经压迫脓腔稳定性及脓毒症，不由PCT单值的变量来源；检查脊髓恶化、感染扩散、失稳及植入感染相关实际状态，禁止将风险写为已发生并发症。术前未手术不套术后模板，10终审。</w:t>
      </w:r>
    </w:p>
    <w:p>
      <w:r>
        <w:t>32 参考指南及版本：[SP04] Clinical Practice Guidelines Native Vertebral Osteomyelitis in Adults，2015，IDSA；[H02] 神经外科术后颅内感染诊治专家共识 2026版，2026，中华医学会神经外科学分会 中国神经外科重症管理协作组 北京医学会神经外科学分会；[SP01] International Standards for Neurological Classification of SCI Ninth Edition，2026，ASIA ISCoS。核验日期2026年10月26日；适用范围与全文访问限制见本文件参考指南说明。</w:t>
      </w:r>
    </w:p>
    <w:p>
      <w:pPr>
        <w:pStyle w:val="Heading2"/>
      </w:pPr>
      <w:bookmarkStart w:id="464" w:name="sec_364"/>
      <w:r>
        <w:t>神经鞘瘤周围神经肿瘤与神经根病</w:t>
      </w:r>
      <w:bookmarkEnd w:id="464"/>
    </w:p>
    <w:p>
      <w:r>
        <w:t>01 疾病定义：根丛或周围神经相关病变，肿瘤与压迫需区别。</w:t>
      </w:r>
    </w:p>
    <w:p>
      <w:r>
        <w:t>02 病因及发病机制：神经鞘来源、其他肿瘤或卡压，具体性质需组织。</w:t>
      </w:r>
    </w:p>
    <w:p>
      <w:r>
        <w:t>03 临床表现：神经分布疼痛麻木无力，肿物和Tinel可能。</w:t>
      </w:r>
    </w:p>
    <w:p>
      <w:r>
        <w:t>04 病史采集重点：病程分布功能、肿瘤家族及既往神经手术。</w:t>
      </w:r>
    </w:p>
    <w:p>
      <w:r>
        <w:t>05 神经系统专科检查：受累神经肌群感觉区反射、邻近血管和根丛对照。</w:t>
      </w:r>
    </w:p>
    <w:p>
      <w:r>
        <w:t>06 神经定位诊断：神经根、丛、单神经与中枢路径定位。</w:t>
      </w:r>
    </w:p>
    <w:p>
      <w:r>
        <w:t>07 定性诊断：定位证据和组织，不能肿块近神经就确诊鞘瘤。影像、临床、术中和病理确定度分别表述。。</w:t>
      </w:r>
    </w:p>
    <w:p>
      <w:r>
        <w:t>08 实验室检查：常规及病因相关检验，不用肿瘤标志物定性质。</w:t>
      </w:r>
    </w:p>
    <w:p>
      <w:r>
        <w:t>09 影像检查：MRI/超声与神经连续性及电生理真实结果。</w:t>
      </w:r>
    </w:p>
    <w:p>
      <w:r>
        <w:t>10 诊断标准：定位证据和组织，不能肿块近神经就确诊鞘瘤。只采用已核验且适用本例的标准，未满足必要项保留待定。。</w:t>
      </w:r>
    </w:p>
    <w:p>
      <w:r>
        <w:t>11 诊断依据：逐项对应本例病程分布功能、肿瘤家族及既往神经手术、受累神经肌群感觉区反射、邻近血管和根丛对照与MRI/超声与神经连续性及电生理真实结果的实际资料；推理不能替代缺失检查。。</w:t>
      </w:r>
    </w:p>
    <w:p>
      <w:r>
        <w:t>12 鉴别诊断：神经纤维瘤、恶性周围神经鞘肿瘤、根病和非神经肿物。</w:t>
      </w:r>
    </w:p>
    <w:p>
      <w:r>
        <w:t>13 分型分级与危险程度：恶性风险需临床病理，不凭大小分级。</w:t>
      </w:r>
    </w:p>
    <w:p>
      <w:r>
        <w:t>14 保守治疗原则：稳定低症状个体观察疼痛管理和功能支持。</w:t>
      </w:r>
    </w:p>
    <w:p>
      <w:r>
        <w:t>15 手术适应性评估：生长疼痛神经损害或性质待明与切除神经风险。</w:t>
      </w:r>
    </w:p>
    <w:p>
      <w:r>
        <w:t>16 常见术式：显微切除、活检或减压按本院神外与其他科分工。实际方式以术者记录为准。。</w:t>
      </w:r>
    </w:p>
    <w:p>
      <w:r>
        <w:t>17 术前风险：神经束损伤感觉运动缺失、疼痛与复发。</w:t>
      </w:r>
    </w:p>
    <w:p>
      <w:r>
        <w:t>18 术后监测：特定神经运动感觉和伤口、电生理按需。</w:t>
      </w:r>
    </w:p>
    <w:p>
      <w:r>
        <w:t>19 并发症：新损伤神经病理痛和感染。</w:t>
      </w:r>
    </w:p>
    <w:p>
      <w:r>
        <w:t>20 首次病程模板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病例特点：【本次病程分布功能、肿瘤家族及既往神经手术的真实内容】；查体【受累神经肌群感觉区反射、邻近血管和根丛对照的实查与时间】；检查【MRI/超声与神经连续性及电生理真实结果的实际结果】。</w:t>
      </w:r>
    </w:p>
    <w:p>
      <w:pPr>
        <w:pStyle w:val="MedicalCode"/>
        <w:keepLines w:val="0"/>
      </w:pPr>
      <w:r>
        <w:t>初步诊断：【本例支持的神经鞘瘤周围神经肿瘤与神经根病或待查诊断与程度】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鉴别诊断：【围绕神经纤维瘤、恶性周围神经鞘肿瘤、根病和非神经肿物的本例支持反对及缺项】</w:t>
      </w:r>
    </w:p>
    <w:p>
      <w:pPr>
        <w:pStyle w:val="MedicalCode"/>
        <w:keepLines w:val="0"/>
      </w:pPr>
      <w:r>
        <w:t>诊疗计划：【针对生长疼痛神经损害或性质待明与切除神经风险的实际评估、治疗和复查计划】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特定神经运动感觉和伤口、电生理按需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特定神经运动感觉和伤口、电生理按需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神经根、丛、单神经与中枢路径定位的本例证据】及【新损伤神经病理痛和感染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生长疼痛神经损害或性质待明与切除神经风险的个体获益风险】和【病理肿瘤及功能恢复、康复和疼痛管理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简要病情与术前诊断：【支持程度和神经根、丛、单神经与中枢路径定位对应事实】</w:t>
      </w:r>
    </w:p>
    <w:p>
      <w:pPr>
        <w:pStyle w:val="MedicalCode"/>
        <w:keepLines w:val="0"/>
      </w:pPr>
      <w:r>
        <w:t>适应性与目标：【本例生长疼痛神经损害或性质待明与切除神经风险评估结论】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风险与准备：【神经束损伤感觉运动缺失、疼痛与复发相关个体风险、实际准备与缺项】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特定神经运动感觉和伤口、电生理按需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新损伤神经病理痛和感染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入院情况：【实际症状、神经根、丛、单神经与中枢路径定位相关查体及检查】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出院安排：【病理肿瘤及功能恢复、康复和疼痛管理对应实际决定】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本病随访：【针对病理肿瘤及功能恢复、康复和疼痛管理的实际时间科室项目】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长期随访：病理肿瘤及功能恢复、康复和疼痛管理。每次记录实际随访日期、方式、来源、功能及检查，失访不能当无复发。</w:t>
      </w:r>
    </w:p>
    <w:p>
      <w:r>
        <w:t>31 最终质控：核本病解剖和责任病灶、真实神经查体、恶性风险需临床病理，不凭大小分级的变量来源；检查神经束损伤感觉运动缺失、疼痛与复发相关实际状态，禁止将风险写为已发生并发症。术前未手术不套术后模板，10终审。</w:t>
      </w:r>
    </w:p>
    <w:p>
      <w:r>
        <w:t>32 参考指南及版本：[N01] Central Nervous System Tumours WHO Classification Fifth Edition Volume 6，2021，WHO Classification of Tumours Editorial Board IARC；[SP03] Spine Committee Recommendations，按各专题年份 官网核验2026，WFNS Spine Committee。核验日期2026年10月26日；适用范围与全文访问限制见本文件参考指南说明。</w:t>
      </w:r>
    </w:p>
    <w:p>
      <w:pPr>
        <w:pStyle w:val="Heading1"/>
      </w:pPr>
      <w:bookmarkStart w:id="517" w:name="sec_417"/>
      <w:r>
        <w:t>本模块专项规则与模拟临床病例</w:t>
      </w:r>
      <w:bookmarkEnd w:id="517"/>
    </w:p>
    <w:p>
      <w:pPr>
        <w:pStyle w:val="Heading2"/>
      </w:pPr>
      <w:bookmarkStart w:id="518" w:name="sec_418"/>
      <w:r>
        <w:t>术后新缺损虚构案例</w:t>
      </w:r>
      <w:bookmarkEnd w:id="518"/>
    </w:p>
    <w:p>
      <w:r>
        <w:t>SIM-SPINE-01：胸髓肿瘤切除后双下肢运动较术前差，未测骶段。及时现场紧急评估，记录逐肌群变化及排压迫血肿缺血计划；不写AIS A、不假定电生理异常或已再次手术。</w:t>
      </w:r>
    </w:p>
    <w:p>
      <w:pPr>
        <w:pStyle w:val="Heading2"/>
      </w:pPr>
      <w:bookmarkStart w:id="520" w:name="sec_420"/>
      <w:r>
        <w:t>专业分工</w:t>
      </w:r>
      <w:bookmarkEnd w:id="520"/>
    </w:p>
    <w:p>
      <w:r>
        <w:t>脊柱内固定、肿瘤及感染处理须尊重本院科室准入和实际术者分工。不得将骨科固定负重段落照搬为神外脊髓功能管理。</w:t>
      </w:r>
    </w:p>
    <w:p>
      <w:pPr>
        <w:pStyle w:val="Heading1"/>
      </w:pPr>
      <w:bookmarkStart w:id="522" w:name="sec_422"/>
      <w:r>
        <w:t>事实边界与常见错误</w:t>
      </w:r>
      <w:bookmarkEnd w:id="522"/>
    </w:p>
    <w:p>
      <w:r>
        <w:t>查体未提供时不填正常；拟行、医嘱、实际执行分开；术者记录、麻醉记录、护理装置记录和影像报告按各自事实领域核对。冲突不以信息较新或职称较高自动消除。模拟病例全部使用虚构编号，不可存入真实患者状态。</w:t>
      </w:r>
    </w:p>
    <w:p>
      <w:r>
        <w:t>本模块所有正式输出遵守01。结构模板中的【字段】只用于规则演示，不是患者事实。不得生成医师实际未说过的查房意见、实际未开展的讨论或知情沟通；可在框外提供待医师确认的分析建议。</w:t>
      </w:r>
    </w:p>
    <w:p>
      <w:pPr>
        <w:pStyle w:val="Heading1"/>
      </w:pPr>
      <w:bookmarkStart w:id="525" w:name="sec_425"/>
      <w:r>
        <w:t>模块联动与最终质控</w:t>
      </w:r>
      <w:bookmarkEnd w:id="525"/>
    </w:p>
    <w:p>
      <w:r>
        <w:t>由00进入，01约束，11绑定患者及住院事件后调用105；需要的通用或专病模块只按当前任务加载。输出前交10核对身份、解剖侧别、证据程度、手术与装置事件、时序、用药执行及代码框；严重冲突阻断净稿，紧急评估提示不受阻断。</w:t>
      </w:r>
    </w:p>
    <w:p>
      <w:pPr>
        <w:pStyle w:val="Heading1"/>
      </w:pPr>
      <w:bookmarkStart w:id="90000" w:name="ref_section"/>
      <w:r>
        <w:t>参考指南及版本说明</w:t>
      </w:r>
      <w:bookmarkEnd w:id="90000"/>
    </w:p>
    <w:p>
      <w:r>
        <w:t>核验日为2026年10月26日。下列来源按实际可访问层级列示；目录摘要核验不等于全文推荐核验。未核实的分值界限、给药剂量、引流设置和手术阈值不由本库自动补入；先使用本院经批准且已核对版本的规范。中国制度和国际指南分别标注适用人群，不能混合成统一自动医嘱。旧版保留用于解释历史记录，不称最新版。</w:t>
      </w:r>
    </w:p>
    <w:p>
      <w:r>
        <w:t>[R01] 病历书写基本规范 卫医政发〔2010〕11号。发布机构：原卫生部；年份/版本：2010；核验日期：2026年10月26日。适用范围：客观真实、栏目、记录时限及签名；执行前同时核对本院现行制度。核验层级：官方页面与可检索条文已核验；不是2002试行版。来源：https://www.nhc.gov.cn/wjw/c100175/201002/b1bec53d90f243e0861529723f00221a.shtml</w:t>
      </w:r>
    </w:p>
    <w:p>
      <w:r>
        <w:t>[R02] 医疗质量安全核心制度要点 国卫医发〔2018〕8号。发布机构：国家卫生健康委员会；年份/版本：2018；核验日期：2026年10月26日。适用范围：三级查房、会诊、术前讨论、抢救、手术安全、病历及信息管理。核验层级：官方解读已核验。来源：https://www.nhc.gov.cn/zwgk/jdjd/201804/5dfb30387c74412194c7f05b878d4f87.shtml</w:t>
      </w:r>
    </w:p>
    <w:p>
      <w:r>
        <w:t>[R03] 电子病历应用管理规范 试行 国卫办医发〔2017〕8号。发布机构：原国家卫生计生委 国家中医药管理局；年份/版本：2017；核验日期：2026年10月26日。适用范围：电子病历权限、审签、修改留痕和管理。核验层级：官网全文或原始指南页面已核验。来源：https://www.nhc.gov.cn/wjw/c100175/201702/90f3de8ae03d488cbddf509dc958f75b.shtml</w:t>
      </w:r>
    </w:p>
    <w:p>
      <w:r>
        <w:t>[SP01] International Standards for Neurological Classification of SCI Ninth Edition。发布机构：ASIA ISCoS；年份/版本：2026；核验日期：2026年10月26日。适用范围：脊髓损伤神经分级；保存所用工作表版本，旧表记录不自动重算。核验层级：官网2026工作表与第9版出版信息已核验；细则按正式表及原文。来源：https://asia-spinalinjury.org/isncsci-resources/</w:t>
      </w:r>
    </w:p>
    <w:p>
      <w:r>
        <w:t>[SP02] AO Spine Praxis Clinical Practice Guidelines Acute Spinal Cord Injury。发布机构：AO Spine Praxis Spinal Cord Institute；年份/版本：2024；核验日期：2026年10月26日。适用范围：成人急性创伤性脊髓损伤时机、血流动力学及术中脊髓损伤。核验层级：官网全文或原始指南页面已核验。来源：https://www.aofoundation.org/spine/clinical-library-and-tools/guidelines</w:t>
      </w:r>
    </w:p>
    <w:p>
      <w:r>
        <w:t>[SP03] Spine Committee Recommendations。发布机构：WFNS Spine Committee；年份/版本：按各专题年份 官网核验2026；核验日期：2026年10月26日。适用范围：腰椎狭窄、颈髓病及脊柱创伤专题；使用时逐专题核版本。核验层级：专业学会目录核验；不载未核阈值。来源：https://wfns-spine.org/recommendations</w:t>
      </w:r>
    </w:p>
    <w:p>
      <w:r>
        <w:t>[N01] Central Nervous System Tumours WHO Classification Fifth Edition Volume 6。发布机构：WHO Classification of Tumours Editorial Board IARC；年份/版本：2021；核验日期：2026年10月26日。适用范围：CNS肿瘤组织学分子整合命名；官网勘误与在线更新需同查。核验层级：官方版本页面及勘误入口核验；未声称无后续更新。来源：https://publications.iarc.who.int/601</w:t>
      </w:r>
    </w:p>
    <w:p>
      <w:r>
        <w:t>[N05] EANO Guidelines Ependymal Tumors。发布机构：EANO；年份/版本：2017在线/2018卷期；核验日期：2026年10月26日。适用范围：室管膜肿瘤治疗框架；旧分类需按WHO CNS2021及正式新报告复核。核验层级：官网全文或原始指南页面已核验。来源：https://www.eano.eu/publications/eano-guidelines/eano-guidelines-for-the-diagnosis-and-treatment/</w:t>
      </w:r>
    </w:p>
    <w:p>
      <w:r>
        <w:t>[P02] Evidence Based Guidelines for Patients With Chiari Malformation。发布机构：CNS AANS Bobby Jones CSF；年份/版本：2023；核验日期：2026年10月26日。适用范围：Chiari畸形外科评估，症状脊髓空洞及CSF关系。核验层级：官网全文或原始指南页面已核验。来源：https://www.cns.org/guidelines/browse-guidelines-detail/3-surgical-interventions</w:t>
      </w:r>
    </w:p>
    <w:p>
      <w:r>
        <w:t>[V02] Cerebrovascular Statements and Guidelines。发布机构：AANS CNS Cerebrovascular Section；年份/版本：官网目录 核验2026；核验日期：2026年10月26日。适用范围：脑血管病指南更新入口，含2024 AVM共识；病种全文未核时不提供数值推荐。核验层级：官方目录核验。来源：https://cvsection.org/education/statements-and-guidelines/</w:t>
      </w:r>
    </w:p>
    <w:p>
      <w:r>
        <w:t>[SP04] Clinical Practice Guidelines Native Vertebral Osteomyelitis in Adults。发布机构：IDSA；年份/版本：2015；核验日期：2026年10月26日。适用范围：成人原发椎体骨髓炎，非所有植入相关感染替代方案。核验层级：官网全文或原始指南页面已核验。来源：https://www.idsociety.org/practice-guideline/vertebral-osteomyelitis/</w:t>
      </w:r>
    </w:p>
    <w:p>
      <w:r>
        <w:t>[H02] 神经外科术后颅内感染诊治专家共识 2026版。发布机构：中华医学会神经外科学分会 中国神经外科重症管理协作组 北京医学会神经外科学分会；年份/版本：2026；核验日期：2026年10月26日。适用范围：术后颅内感染的证据和综合管理；DOI 10.3760/cma.j.cn112137-20260329-00837。核验层级：原期刊摘要和DOI核验；不据摘要编写抗菌药具体剂量。来源：https://uatwk.yiigle.com/cn/CN113904201206/toc/72938</w:t>
      </w:r>
    </w:p>
    <w:sectPr w:rsidR="00FC693F" w:rsidRPr="0006063C" w:rsidSect="00034616">
      <w:footerReference w:type="default" r:id="rId9"/>
      <w:pgSz w:w="11906" w:h="16838"/>
      <w:pgMar w:top="1304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神经外科AI病历书写系统 V1.0  105  |  </w:t>
    </w:r>
    <w:fldSimple w:instr="PAGE">
      <w:r>
        <w:t>1</w:t>
      </w:r>
    </w:fldSimple>
    <w:r>
      <w:t xml:space="preserve"> / </w:t>
    </w:r>
    <w:fldSimple w:instr="NUMPAGES">
      <w:r>
        <w:t>37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Arial" w:hAnsi="Arial" w:eastAsia="Songti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Arial" w:hAnsi="Arial" w:eastAsia="Hiragino Sans GB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Arial" w:hAnsi="Arial" w:eastAsia="Hiragino Sans GB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Arial" w:hAnsi="Arial" w:eastAsia="Hiragino Sans GB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Arial" w:hAnsi="Arial" w:eastAsia="Hiragino Sans GB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Arial" w:hAnsi="Arial" w:eastAsia="Hiragino Sans GB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Code">
    <w:name w:val="Medical Code"/>
    <w:basedOn w:val="Normal"/>
    <w:pPr>
      <w:spacing w:after="40" w:line="276" w:lineRule="auto"/>
    </w:pPr>
    <w:rPr>
      <w:rFonts w:ascii="Consolas" w:hAnsi="Consolas" w:eastAsia="Songti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脊柱脊髓与周围神经外科专病模板库</dc:title>
  <dc:subject>神经外科医学文书规则库</dc:subject>
  <dc:creator>神经外科病历模板库</dc:creator>
  <cp:keywords>105 V1.0 2026-10-26</cp:keywords>
  <dc:description>模拟病例为虚构教学测试数据，不得写入真实病历。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