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107 功能神经外科癫痫外科及神经调控专病模板库</w:t>
      </w:r>
    </w:p>
    <w:p>
      <w:r>
        <w:t>模块编号 107    版本 V1.0</w:t>
      </w:r>
    </w:p>
    <w:p>
      <w:r>
        <w:t>所属层级 第三级 专病知识层</w:t>
      </w:r>
    </w:p>
    <w:p>
      <w:r>
        <w:t>创建及公开来源核验日期 2026年10月26日</w:t>
      </w:r>
    </w:p>
    <w:p>
      <w:r>
        <w:t>功能定位 专病证据分析与连续文书生成</w:t>
      </w:r>
    </w:p>
    <w:p>
      <w:r>
        <w:t>适用范围 16类功能癫痫神经调控与设备场景</w:t>
      </w:r>
    </w:p>
    <w:p>
      <w:r>
        <w:t>自动调用条件 11识别该病种、相关手术或特异并发症；儿童另联108</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专病使用范围与最高约束</w:t>
        </w:r>
      </w:hyperlink>
      <w:r>
        <w:tab/>
      </w:r>
      <w:fldSimple w:instr="PAGEREF sec_0 \h">
        <w:r>
          <w:t>4</w:t>
        </w:r>
      </w:fldSimple>
    </w:p>
    <w:p>
      <w:pPr>
        <w:tabs>
          <w:tab w:pos="8787" w:val="right" w:leader="dot"/>
        </w:tabs>
        <w:spacing w:after="60"/>
      </w:pPr>
      <w:hyperlink w:anchor="sec_3">
        <w:r>
          <w:t>病种覆盖与差异化调用索引</w:t>
        </w:r>
      </w:hyperlink>
      <w:r>
        <w:tab/>
      </w:r>
      <w:fldSimple w:instr="PAGEREF sec_3 \h">
        <w:r>
          <w:t>4</w:t>
        </w:r>
      </w:fldSimple>
    </w:p>
    <w:p>
      <w:pPr>
        <w:tabs>
          <w:tab w:pos="8787" w:val="right" w:leader="dot"/>
        </w:tabs>
        <w:spacing w:after="60"/>
        <w:ind w:left="255"/>
      </w:pPr>
      <w:hyperlink w:anchor="sec_4">
        <w:r>
          <w:t>药物难治性癫痫</w:t>
        </w:r>
      </w:hyperlink>
      <w:r>
        <w:tab/>
      </w:r>
      <w:fldSimple w:instr="PAGEREF sec_4 \h">
        <w:r>
          <w:t>4</w:t>
        </w:r>
      </w:fldSimple>
    </w:p>
    <w:p>
      <w:pPr>
        <w:tabs>
          <w:tab w:pos="8787" w:val="right" w:leader="dot"/>
        </w:tabs>
        <w:spacing w:after="60"/>
        <w:ind w:left="255"/>
      </w:pPr>
      <w:hyperlink w:anchor="sec_6">
        <w:r>
          <w:t>癫痫术前综合评估</w:t>
        </w:r>
      </w:hyperlink>
      <w:r>
        <w:tab/>
      </w:r>
      <w:fldSimple w:instr="PAGEREF sec_6 \h">
        <w:r>
          <w:t>4</w:t>
        </w:r>
      </w:fldSimple>
    </w:p>
    <w:p>
      <w:pPr>
        <w:tabs>
          <w:tab w:pos="8787" w:val="right" w:leader="dot"/>
        </w:tabs>
        <w:spacing w:after="60"/>
        <w:ind w:left="255"/>
      </w:pPr>
      <w:hyperlink w:anchor="sec_8">
        <w:r>
          <w:t>颅内电极监测</w:t>
        </w:r>
      </w:hyperlink>
      <w:r>
        <w:tab/>
      </w:r>
      <w:fldSimple w:instr="PAGEREF sec_8 \h">
        <w:r>
          <w:t>4</w:t>
        </w:r>
      </w:fldSimple>
    </w:p>
    <w:p>
      <w:pPr>
        <w:tabs>
          <w:tab w:pos="8787" w:val="right" w:leader="dot"/>
        </w:tabs>
        <w:spacing w:after="60"/>
        <w:ind w:left="255"/>
      </w:pPr>
      <w:hyperlink w:anchor="sec_10">
        <w:r>
          <w:t>癫痫病灶切除</w:t>
        </w:r>
      </w:hyperlink>
      <w:r>
        <w:tab/>
      </w:r>
      <w:fldSimple w:instr="PAGEREF sec_10 \h">
        <w:r>
          <w:t>5</w:t>
        </w:r>
      </w:fldSimple>
    </w:p>
    <w:p>
      <w:pPr>
        <w:tabs>
          <w:tab w:pos="8787" w:val="right" w:leader="dot"/>
        </w:tabs>
        <w:spacing w:after="60"/>
        <w:ind w:left="255"/>
      </w:pPr>
      <w:hyperlink w:anchor="sec_12">
        <w:r>
          <w:t>癫痫神经调控</w:t>
        </w:r>
      </w:hyperlink>
      <w:r>
        <w:tab/>
      </w:r>
      <w:fldSimple w:instr="PAGEREF sec_12 \h">
        <w:r>
          <w:t>5</w:t>
        </w:r>
      </w:fldSimple>
    </w:p>
    <w:p>
      <w:pPr>
        <w:tabs>
          <w:tab w:pos="8787" w:val="right" w:leader="dot"/>
        </w:tabs>
        <w:spacing w:after="60"/>
        <w:ind w:left="255"/>
      </w:pPr>
      <w:hyperlink w:anchor="sec_14">
        <w:r>
          <w:t>帕金森病DBS</w:t>
        </w:r>
      </w:hyperlink>
      <w:r>
        <w:tab/>
      </w:r>
      <w:fldSimple w:instr="PAGEREF sec_14 \h">
        <w:r>
          <w:t>5</w:t>
        </w:r>
      </w:fldSimple>
    </w:p>
    <w:p>
      <w:pPr>
        <w:tabs>
          <w:tab w:pos="8787" w:val="right" w:leader="dot"/>
        </w:tabs>
        <w:spacing w:after="60"/>
        <w:ind w:left="255"/>
      </w:pPr>
      <w:hyperlink w:anchor="sec_16">
        <w:r>
          <w:t>震颤DBS</w:t>
        </w:r>
      </w:hyperlink>
      <w:r>
        <w:tab/>
      </w:r>
      <w:fldSimple w:instr="PAGEREF sec_16 \h">
        <w:r>
          <w:t>5</w:t>
        </w:r>
      </w:fldSimple>
    </w:p>
    <w:p>
      <w:pPr>
        <w:tabs>
          <w:tab w:pos="8787" w:val="right" w:leader="dot"/>
        </w:tabs>
        <w:spacing w:after="60"/>
        <w:ind w:left="255"/>
      </w:pPr>
      <w:hyperlink w:anchor="sec_18">
        <w:r>
          <w:t>肌张力障碍调控</w:t>
        </w:r>
      </w:hyperlink>
      <w:r>
        <w:tab/>
      </w:r>
      <w:fldSimple w:instr="PAGEREF sec_18 \h">
        <w:r>
          <w:t>5</w:t>
        </w:r>
      </w:fldSimple>
    </w:p>
    <w:p>
      <w:pPr>
        <w:tabs>
          <w:tab w:pos="8787" w:val="right" w:leader="dot"/>
        </w:tabs>
        <w:spacing w:after="60"/>
        <w:ind w:left="255"/>
      </w:pPr>
      <w:hyperlink w:anchor="sec_20">
        <w:r>
          <w:t>三叉神经痛</w:t>
        </w:r>
      </w:hyperlink>
      <w:r>
        <w:tab/>
      </w:r>
      <w:fldSimple w:instr="PAGEREF sec_20 \h">
        <w:r>
          <w:t>5</w:t>
        </w:r>
      </w:fldSimple>
    </w:p>
    <w:p>
      <w:pPr>
        <w:tabs>
          <w:tab w:pos="8787" w:val="right" w:leader="dot"/>
        </w:tabs>
        <w:spacing w:after="60"/>
        <w:ind w:left="255"/>
      </w:pPr>
      <w:hyperlink w:anchor="sec_22">
        <w:r>
          <w:t>面肌痉挛</w:t>
        </w:r>
      </w:hyperlink>
      <w:r>
        <w:tab/>
      </w:r>
      <w:fldSimple w:instr="PAGEREF sec_22 \h">
        <w:r>
          <w:t>6</w:t>
        </w:r>
      </w:fldSimple>
    </w:p>
    <w:p>
      <w:pPr>
        <w:tabs>
          <w:tab w:pos="8787" w:val="right" w:leader="dot"/>
        </w:tabs>
        <w:spacing w:after="60"/>
        <w:ind w:left="255"/>
      </w:pPr>
      <w:hyperlink w:anchor="sec_24">
        <w:r>
          <w:t>微血管减压</w:t>
        </w:r>
      </w:hyperlink>
      <w:r>
        <w:tab/>
      </w:r>
      <w:fldSimple w:instr="PAGEREF sec_24 \h">
        <w:r>
          <w:t>6</w:t>
        </w:r>
      </w:fldSimple>
    </w:p>
    <w:p>
      <w:pPr>
        <w:tabs>
          <w:tab w:pos="8787" w:val="right" w:leader="dot"/>
        </w:tabs>
        <w:spacing w:after="60"/>
        <w:ind w:left="255"/>
      </w:pPr>
      <w:hyperlink w:anchor="sec_26">
        <w:r>
          <w:t>慢性神经病理性疼痛外科</w:t>
        </w:r>
      </w:hyperlink>
      <w:r>
        <w:tab/>
      </w:r>
      <w:fldSimple w:instr="PAGEREF sec_26 \h">
        <w:r>
          <w:t>6</w:t>
        </w:r>
      </w:fldSimple>
    </w:p>
    <w:p>
      <w:pPr>
        <w:tabs>
          <w:tab w:pos="8787" w:val="right" w:leader="dot"/>
        </w:tabs>
        <w:spacing w:after="60"/>
        <w:ind w:left="255"/>
      </w:pPr>
      <w:hyperlink w:anchor="sec_28">
        <w:r>
          <w:t>立体定向功能手术</w:t>
        </w:r>
      </w:hyperlink>
      <w:r>
        <w:tab/>
      </w:r>
      <w:fldSimple w:instr="PAGEREF sec_28 \h">
        <w:r>
          <w:t>6</w:t>
        </w:r>
      </w:fldSimple>
    </w:p>
    <w:p>
      <w:pPr>
        <w:tabs>
          <w:tab w:pos="8787" w:val="right" w:leader="dot"/>
        </w:tabs>
        <w:spacing w:after="60"/>
        <w:ind w:left="255"/>
      </w:pPr>
      <w:hyperlink w:anchor="sec_30">
        <w:r>
          <w:t>神经调控置入</w:t>
        </w:r>
      </w:hyperlink>
      <w:r>
        <w:tab/>
      </w:r>
      <w:fldSimple w:instr="PAGEREF sec_30 \h">
        <w:r>
          <w:t>6</w:t>
        </w:r>
      </w:fldSimple>
    </w:p>
    <w:p>
      <w:pPr>
        <w:tabs>
          <w:tab w:pos="8787" w:val="right" w:leader="dot"/>
        </w:tabs>
        <w:spacing w:after="60"/>
        <w:ind w:left="255"/>
      </w:pPr>
      <w:hyperlink w:anchor="sec_32">
        <w:r>
          <w:t>设备感染或硬件异常</w:t>
        </w:r>
      </w:hyperlink>
      <w:r>
        <w:tab/>
      </w:r>
      <w:fldSimple w:instr="PAGEREF sec_32 \h">
        <w:r>
          <w:t>6</w:t>
        </w:r>
      </w:fldSimple>
    </w:p>
    <w:p>
      <w:pPr>
        <w:tabs>
          <w:tab w:pos="8787" w:val="right" w:leader="dot"/>
        </w:tabs>
        <w:spacing w:after="60"/>
        <w:ind w:left="255"/>
      </w:pPr>
      <w:hyperlink w:anchor="sec_34">
        <w:r>
          <w:t>程控及随访</w:t>
        </w:r>
      </w:hyperlink>
      <w:r>
        <w:tab/>
      </w:r>
      <w:fldSimple w:instr="PAGEREF sec_34 \h">
        <w:r>
          <w:t>7</w:t>
        </w:r>
      </w:fldSimple>
    </w:p>
    <w:p>
      <w:pPr>
        <w:tabs>
          <w:tab w:pos="8787" w:val="right" w:leader="dot"/>
        </w:tabs>
        <w:spacing w:after="60"/>
      </w:pPr>
      <w:hyperlink w:anchor="sec_36">
        <w:r>
          <w:t>重要病种完整32项临床与文书单元</w:t>
        </w:r>
      </w:hyperlink>
      <w:r>
        <w:tab/>
      </w:r>
      <w:fldSimple w:instr="PAGEREF sec_36 \h">
        <w:r>
          <w:t>7</w:t>
        </w:r>
      </w:fldSimple>
    </w:p>
    <w:p>
      <w:pPr>
        <w:tabs>
          <w:tab w:pos="8787" w:val="right" w:leader="dot"/>
        </w:tabs>
        <w:spacing w:after="60"/>
        <w:ind w:left="255"/>
      </w:pPr>
      <w:hyperlink w:anchor="sec_37">
        <w:r>
          <w:t>药物难治性癫痫与术前评估</w:t>
        </w:r>
      </w:hyperlink>
      <w:r>
        <w:tab/>
      </w:r>
      <w:fldSimple w:instr="PAGEREF sec_37 \h">
        <w:r>
          <w:t>7</w:t>
        </w:r>
      </w:fldSimple>
    </w:p>
    <w:p>
      <w:pPr>
        <w:tabs>
          <w:tab w:pos="8787" w:val="right" w:leader="dot"/>
        </w:tabs>
        <w:spacing w:after="60"/>
        <w:ind w:left="255"/>
      </w:pPr>
      <w:hyperlink w:anchor="sec_91">
        <w:r>
          <w:t>颅内电极监测与癫痫切除</w:t>
        </w:r>
      </w:hyperlink>
      <w:r>
        <w:tab/>
      </w:r>
      <w:fldSimple w:instr="PAGEREF sec_91 \h">
        <w:r>
          <w:t>11</w:t>
        </w:r>
      </w:fldSimple>
    </w:p>
    <w:p>
      <w:pPr>
        <w:tabs>
          <w:tab w:pos="8787" w:val="right" w:leader="dot"/>
        </w:tabs>
        <w:spacing w:after="60"/>
        <w:ind w:left="255"/>
      </w:pPr>
      <w:hyperlink w:anchor="sec_144">
        <w:r>
          <w:t>帕金森病DBS与运动障碍调控</w:t>
        </w:r>
      </w:hyperlink>
      <w:r>
        <w:tab/>
      </w:r>
      <w:fldSimple w:instr="PAGEREF sec_144 \h">
        <w:r>
          <w:t>15</w:t>
        </w:r>
      </w:fldSimple>
    </w:p>
    <w:p>
      <w:pPr>
        <w:tabs>
          <w:tab w:pos="8787" w:val="right" w:leader="dot"/>
        </w:tabs>
        <w:spacing w:after="60"/>
        <w:ind w:left="255"/>
      </w:pPr>
      <w:hyperlink w:anchor="sec_197">
        <w:r>
          <w:t>三叉神经痛与微血管减压</w:t>
        </w:r>
      </w:hyperlink>
      <w:r>
        <w:tab/>
      </w:r>
      <w:fldSimple w:instr="PAGEREF sec_197 \h">
        <w:r>
          <w:t>19</w:t>
        </w:r>
      </w:fldSimple>
    </w:p>
    <w:p>
      <w:pPr>
        <w:tabs>
          <w:tab w:pos="8787" w:val="right" w:leader="dot"/>
        </w:tabs>
        <w:spacing w:after="60"/>
        <w:ind w:left="255"/>
      </w:pPr>
      <w:hyperlink w:anchor="sec_250">
        <w:r>
          <w:t>面肌痉挛与其他功能疼痛手术</w:t>
        </w:r>
      </w:hyperlink>
      <w:r>
        <w:tab/>
      </w:r>
      <w:fldSimple w:instr="PAGEREF sec_250 \h">
        <w:r>
          <w:t>23</w:t>
        </w:r>
      </w:fldSimple>
    </w:p>
    <w:p>
      <w:pPr>
        <w:tabs>
          <w:tab w:pos="8787" w:val="right" w:leader="dot"/>
        </w:tabs>
        <w:spacing w:after="60"/>
        <w:ind w:left="255"/>
      </w:pPr>
      <w:hyperlink w:anchor="sec_303">
        <w:r>
          <w:t>神经调控装置与硬件问题</w:t>
        </w:r>
      </w:hyperlink>
      <w:r>
        <w:tab/>
      </w:r>
      <w:fldSimple w:instr="PAGEREF sec_303 \h">
        <w:r>
          <w:t>27</w:t>
        </w:r>
      </w:fldSimple>
    </w:p>
    <w:p>
      <w:pPr>
        <w:tabs>
          <w:tab w:pos="8787" w:val="right" w:leader="dot"/>
        </w:tabs>
        <w:spacing w:after="60"/>
      </w:pPr>
      <w:hyperlink w:anchor="sec_356">
        <w:r>
          <w:t>本模块专项规则与模拟临床病例</w:t>
        </w:r>
      </w:hyperlink>
      <w:r>
        <w:tab/>
      </w:r>
      <w:fldSimple w:instr="PAGEREF sec_356 \h">
        <w:r>
          <w:t>31</w:t>
        </w:r>
      </w:fldSimple>
    </w:p>
    <w:p>
      <w:pPr>
        <w:tabs>
          <w:tab w:pos="8787" w:val="right" w:leader="dot"/>
        </w:tabs>
        <w:spacing w:after="60"/>
        <w:ind w:left="255"/>
      </w:pPr>
      <w:hyperlink w:anchor="sec_357">
        <w:r>
          <w:t>虚构DBS病例</w:t>
        </w:r>
      </w:hyperlink>
      <w:r>
        <w:tab/>
      </w:r>
      <w:fldSimple w:instr="PAGEREF sec_357 \h">
        <w:r>
          <w:t>31</w:t>
        </w:r>
      </w:fldSimple>
    </w:p>
    <w:p>
      <w:pPr>
        <w:tabs>
          <w:tab w:pos="8787" w:val="right" w:leader="dot"/>
        </w:tabs>
        <w:spacing w:after="60"/>
        <w:ind w:left="255"/>
      </w:pPr>
      <w:hyperlink w:anchor="sec_359">
        <w:r>
          <w:t>虚构微血管减压病例</w:t>
        </w:r>
      </w:hyperlink>
      <w:r>
        <w:tab/>
      </w:r>
      <w:fldSimple w:instr="PAGEREF sec_359 \h">
        <w:r>
          <w:t>31</w:t>
        </w:r>
      </w:fldSimple>
    </w:p>
    <w:p>
      <w:pPr>
        <w:tabs>
          <w:tab w:pos="8787" w:val="right" w:leader="dot"/>
        </w:tabs>
        <w:spacing w:after="60"/>
      </w:pPr>
      <w:hyperlink w:anchor="sec_361">
        <w:r>
          <w:t>事实边界与常见错误</w:t>
        </w:r>
      </w:hyperlink>
      <w:r>
        <w:tab/>
      </w:r>
      <w:fldSimple w:instr="PAGEREF sec_361 \h">
        <w:r>
          <w:t>31</w:t>
        </w:r>
      </w:fldSimple>
    </w:p>
    <w:p>
      <w:pPr>
        <w:tabs>
          <w:tab w:pos="8787" w:val="right" w:leader="dot"/>
        </w:tabs>
        <w:spacing w:after="60"/>
      </w:pPr>
      <w:hyperlink w:anchor="sec_364">
        <w:r>
          <w:t>模块联动与最终质控</w:t>
        </w:r>
      </w:hyperlink>
      <w:r>
        <w:tab/>
      </w:r>
      <w:fldSimple w:instr="PAGEREF sec_364 \h">
        <w:r>
          <w:t>31</w:t>
        </w:r>
      </w:fldSimple>
    </w:p>
    <w:p>
      <w:pPr>
        <w:tabs>
          <w:tab w:pos="8787" w:val="right" w:leader="dot"/>
        </w:tabs>
        <w:spacing w:after="60"/>
      </w:pPr>
      <w:hyperlink w:anchor="ref_section">
        <w:r>
          <w:t>参考指南及版本说明</w:t>
        </w:r>
      </w:hyperlink>
      <w:r>
        <w:tab/>
      </w:r>
      <w:fldSimple w:instr="PAGEREF ref_section \h">
        <w:r>
          <w:t>31</w:t>
        </w:r>
      </w:fldSimple>
    </w:p>
    <w:p>
      <w:r>
        <w:fldChar w:fldCharType="end"/>
      </w:r>
    </w:p>
    <w:p>
      <w:r>
        <w:br w:type="page"/>
      </w:r>
    </w:p>
    <w:p>
      <w:pPr>
        <w:pStyle w:val="Heading1"/>
      </w:pPr>
      <w:bookmarkStart w:id="100" w:name="sec_0"/>
      <w:r>
        <w:t>专病使用范围与最高约束</w:t>
      </w:r>
      <w:bookmarkEnd w:id="100"/>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t>所有专病正式输出遵守01的text代码框，题头在外、正文在内；日常与三级查房单段，无占位符。下面结构模板不是实际病历，须以本例资料替换；对医师意见和手术事实无来源时，不能凭本病知识补齐。专业知识用于提出待核问题和解释证据，不自动成为患者诊疗决定。</w:t>
      </w:r>
    </w:p>
    <w:p>
      <w:pPr>
        <w:pStyle w:val="Heading1"/>
      </w:pPr>
      <w:bookmarkStart w:id="103" w:name="sec_3"/>
      <w:r>
        <w:t>病种覆盖与差异化调用索引</w:t>
      </w:r>
      <w:bookmarkEnd w:id="103"/>
    </w:p>
    <w:p>
      <w:pPr>
        <w:pStyle w:val="Heading2"/>
      </w:pPr>
      <w:bookmarkStart w:id="104" w:name="sec_4"/>
      <w:r>
        <w:t>药物难治性癫痫</w:t>
      </w:r>
      <w:bookmarkEnd w:id="104"/>
    </w:p>
    <w:p>
      <w:r>
        <w:t>调用本模块“药物难治性癫痫与术前评估”完整32项病种单元，并增加以下特异规则：两种适当可耐受方案的真实失败细节，不能仅药名两项。对于该变体的病程、查房、术前及出院模板，必须将上述差异作为本例需提取的独立证据字段，未提供不自动补阳性或阴性。</w:t>
      </w:r>
    </w:p>
    <w:p>
      <w:pPr>
        <w:pStyle w:val="Heading2"/>
      </w:pPr>
      <w:bookmarkStart w:id="106" w:name="sec_6"/>
      <w:r>
        <w:t>癫痫术前综合评估</w:t>
      </w:r>
      <w:bookmarkEnd w:id="106"/>
    </w:p>
    <w:p>
      <w:r>
        <w:t>调用本模块“药物难治性癫痫与术前评估”完整32项病种单元，并增加以下特异规则：症状学视频EEG MRI神经心理一致性和分歧。对于该变体的病程、查房、术前及出院模板，必须将上述差异作为本例需提取的独立证据字段，未提供不自动补阳性或阴性。</w:t>
      </w:r>
    </w:p>
    <w:p>
      <w:pPr>
        <w:pStyle w:val="Heading2"/>
      </w:pPr>
      <w:bookmarkStart w:id="108" w:name="sec_8"/>
      <w:r>
        <w:t>颅内电极监测</w:t>
      </w:r>
      <w:bookmarkEnd w:id="108"/>
    </w:p>
    <w:p>
      <w:r>
        <w:t>调用本模块“颅内电极监测与癫痫切除”完整32项病种单元，并增加以下特异规则：SEEG与网格不同真实轨迹和电极，未捕获不编起始区。对于该变体的病程、查房、术前及出院模板，必须将上述差异作为本例需提取的独立证据字段，未提供不自动补阳性或阴性。</w:t>
      </w:r>
    </w:p>
    <w:p>
      <w:pPr>
        <w:pStyle w:val="Heading2"/>
      </w:pPr>
      <w:bookmarkStart w:id="110" w:name="sec_10"/>
      <w:r>
        <w:t>癫痫病灶切除</w:t>
      </w:r>
      <w:bookmarkEnd w:id="110"/>
    </w:p>
    <w:p>
      <w:r>
        <w:t>调用本模块“颅内电极监测与癫痫切除”完整32项病种单元，并增加以下特异规则：病灶区不等致痫区，实际切除断连范围。对于该变体的病程、查房、术前及出院模板，必须将上述差异作为本例需提取的独立证据字段，未提供不自动补阳性或阴性。</w:t>
      </w:r>
    </w:p>
    <w:p>
      <w:pPr>
        <w:pStyle w:val="Heading2"/>
      </w:pPr>
      <w:bookmarkStart w:id="112" w:name="sec_12"/>
      <w:r>
        <w:t>癫痫神经调控</w:t>
      </w:r>
      <w:bookmarkEnd w:id="112"/>
    </w:p>
    <w:p>
      <w:r>
        <w:t>调用本模块“神经调控装置与硬件问题”完整32项病种单元，并增加以下特异规则：VNS RNS DBS各装置靶点和开机状态区别。对于该变体的病程、查房、术前及出院模板，必须将上述差异作为本例需提取的独立证据字段，未提供不自动补阳性或阴性。</w:t>
      </w:r>
    </w:p>
    <w:p>
      <w:pPr>
        <w:pStyle w:val="Heading2"/>
      </w:pPr>
      <w:bookmarkStart w:id="114" w:name="sec_14"/>
      <w:r>
        <w:t>帕金森病DBS</w:t>
      </w:r>
      <w:bookmarkEnd w:id="114"/>
    </w:p>
    <w:p>
      <w:r>
        <w:t>调用本模块“帕金森病DBS与运动障碍调控”完整32项病种单元，并增加以下特异规则：药物及刺激开关条件、靶点与实际植入。对于该变体的病程、查房、术前及出院模板，必须将上述差异作为本例需提取的独立证据字段，未提供不自动补阳性或阴性。</w:t>
      </w:r>
    </w:p>
    <w:p>
      <w:pPr>
        <w:pStyle w:val="Heading2"/>
      </w:pPr>
      <w:bookmarkStart w:id="116" w:name="sec_16"/>
      <w:r>
        <w:t>震颤DBS</w:t>
      </w:r>
      <w:bookmarkEnd w:id="116"/>
    </w:p>
    <w:p>
      <w:r>
        <w:t>调用本模块“帕金森病DBS与运动障碍调控”完整32项病种单元，并增加以下特异规则：原发性等震颤诊断和目标专用量表，不能自动定STN。对于该变体的病程、查房、术前及出院模板，必须将上述差异作为本例需提取的独立证据字段，未提供不自动补阳性或阴性。</w:t>
      </w:r>
    </w:p>
    <w:p>
      <w:pPr>
        <w:pStyle w:val="Heading2"/>
      </w:pPr>
      <w:bookmarkStart w:id="118" w:name="sec_18"/>
      <w:r>
        <w:t>肌张力障碍调控</w:t>
      </w:r>
      <w:bookmarkEnd w:id="118"/>
    </w:p>
    <w:p>
      <w:r>
        <w:t>调用本模块“帕金森病DBS与运动障碍调控”完整32项病种单元，并增加以下特异规则：原发继发病因和目标量表，响应时间不套帕金森。对于该变体的病程、查房、术前及出院模板，必须将上述差异作为本例需提取的独立证据字段，未提供不自动补阳性或阴性。</w:t>
      </w:r>
    </w:p>
    <w:p>
      <w:pPr>
        <w:pStyle w:val="Heading2"/>
      </w:pPr>
      <w:bookmarkStart w:id="120" w:name="sec_20"/>
      <w:r>
        <w:t>三叉神经痛</w:t>
      </w:r>
      <w:bookmarkEnd w:id="120"/>
    </w:p>
    <w:p>
      <w:r>
        <w:t>调用本模块“三叉神经痛与微血管减压”完整32项病种单元，并增加以下特异规则：支别临床特点及继发病因排查。对于该变体的病程、查房、术前及出院模板，必须将上述差异作为本例需提取的独立证据字段，未提供不自动补阳性或阴性。</w:t>
      </w:r>
    </w:p>
    <w:p>
      <w:pPr>
        <w:pStyle w:val="Heading2"/>
      </w:pPr>
      <w:bookmarkStart w:id="122" w:name="sec_22"/>
      <w:r>
        <w:t>面肌痉挛</w:t>
      </w:r>
      <w:bookmarkEnd w:id="122"/>
    </w:p>
    <w:p>
      <w:r>
        <w:t>调用本模块“面肌痉挛与其他功能疼痛手术”完整32项病种单元，并增加以下特异规则：面肌分布与联带运动发作鉴别。对于该变体的病程、查房、术前及出院模板，必须将上述差异作为本例需提取的独立证据字段，未提供不自动补阳性或阴性。</w:t>
      </w:r>
    </w:p>
    <w:p>
      <w:pPr>
        <w:pStyle w:val="Heading2"/>
      </w:pPr>
      <w:bookmarkStart w:id="124" w:name="sec_24"/>
      <w:r>
        <w:t>微血管减压</w:t>
      </w:r>
      <w:bookmarkEnd w:id="124"/>
    </w:p>
    <w:p>
      <w:r>
        <w:t>调用本模块“三叉神经痛与微血管减压”完整32项病种单元，并增加以下特异规则：责任神经和血管实际所见材料，不能推监测已用。对于该变体的病程、查房、术前及出院模板，必须将上述差异作为本例需提取的独立证据字段，未提供不自动补阳性或阴性。</w:t>
      </w:r>
    </w:p>
    <w:p>
      <w:pPr>
        <w:pStyle w:val="Heading2"/>
      </w:pPr>
      <w:bookmarkStart w:id="126" w:name="sec_26"/>
      <w:r>
        <w:t>慢性神经病理性疼痛外科</w:t>
      </w:r>
      <w:bookmarkEnd w:id="126"/>
    </w:p>
    <w:p>
      <w:r>
        <w:t>调用本模块“面肌痉挛与其他功能疼痛手术”完整32项病种单元，并增加以下特异规则：疼痛机制、心理功能和替代治疗，准入确认后选专用技术规则。对于该变体的病程、查房、术前及出院模板，必须将上述差异作为本例需提取的独立证据字段，未提供不自动补阳性或阴性。</w:t>
      </w:r>
    </w:p>
    <w:p>
      <w:pPr>
        <w:pStyle w:val="Heading2"/>
      </w:pPr>
      <w:bookmarkStart w:id="128" w:name="sec_28"/>
      <w:r>
        <w:t>立体定向功能手术</w:t>
      </w:r>
      <w:bookmarkEnd w:id="128"/>
    </w:p>
    <w:p>
      <w:r>
        <w:t>调用本模块“面肌痉挛与其他功能疼痛手术”完整32项病种单元，并增加以下特异规则：毁损与刺激植入不同，轨迹靶点实际记录。对于该变体的病程、查房、术前及出院模板，必须将上述差异作为本例需提取的独立证据字段，未提供不自动补阳性或阴性。</w:t>
      </w:r>
    </w:p>
    <w:p>
      <w:pPr>
        <w:pStyle w:val="Heading2"/>
      </w:pPr>
      <w:bookmarkStart w:id="130" w:name="sec_30"/>
      <w:r>
        <w:t>神经调控置入</w:t>
      </w:r>
      <w:bookmarkEnd w:id="130"/>
    </w:p>
    <w:p>
      <w:r>
        <w:t>调用本模块“神经调控装置与硬件问题”完整32项病种单元，并增加以下特异规则：电极和发生器分期，连接不等开机。对于该变体的病程、查房、术前及出院模板，必须将上述差异作为本例需提取的独立证据字段，未提供不自动补阳性或阴性。</w:t>
      </w:r>
    </w:p>
    <w:p>
      <w:pPr>
        <w:pStyle w:val="Heading2"/>
      </w:pPr>
      <w:bookmarkStart w:id="132" w:name="sec_32"/>
      <w:r>
        <w:t>设备感染或硬件异常</w:t>
      </w:r>
      <w:bookmarkEnd w:id="132"/>
    </w:p>
    <w:p>
      <w:r>
        <w:t>调用本模块“神经调控装置与硬件问题”完整32项病种单元，并增加以下特异规则：植入部件保留更换取出与病原分层。对于该变体的病程、查房、术前及出院模板，必须将上述差异作为本例需提取的独立证据字段，未提供不自动补阳性或阴性。</w:t>
      </w:r>
    </w:p>
    <w:p>
      <w:pPr>
        <w:pStyle w:val="Heading2"/>
      </w:pPr>
      <w:bookmarkStart w:id="134" w:name="sec_34"/>
      <w:r>
        <w:t>程控及随访</w:t>
      </w:r>
      <w:bookmarkEnd w:id="134"/>
    </w:p>
    <w:p>
      <w:r>
        <w:t>调用本模块“神经调控装置与硬件问题”完整32项病种单元，并增加以下特异规则：每次参数接触点幅度单位脉宽频率与反应，未给不得补。对于该变体的病程、查房、术前及出院模板，必须将上述差异作为本例需提取的独立证据字段，未提供不自动补阳性或阴性。</w:t>
      </w:r>
    </w:p>
    <w:p>
      <w:pPr>
        <w:pStyle w:val="Heading1"/>
      </w:pPr>
      <w:bookmarkStart w:id="136" w:name="sec_36"/>
      <w:r>
        <w:t>重要病种完整32项临床与文书单元</w:t>
      </w:r>
      <w:bookmarkEnd w:id="136"/>
    </w:p>
    <w:p>
      <w:pPr>
        <w:pStyle w:val="Heading2"/>
      </w:pPr>
      <w:bookmarkStart w:id="137" w:name="sec_37"/>
      <w:r>
        <w:t>药物难治性癫痫与术前评估</w:t>
      </w:r>
      <w:bookmarkEnd w:id="137"/>
    </w:p>
    <w:p>
      <w:r>
        <w:t>01 疾病定义：适当选择且可耐受的足量足疗程抗发作方案失败后的持续发作，具体按ILAE定义核。</w:t>
      </w:r>
    </w:p>
    <w:p>
      <w:r>
        <w:t>02 病因及发病机制：局灶结构、网络或其他病因，发作起始区和致痫区不等同。</w:t>
      </w:r>
    </w:p>
    <w:p>
      <w:r>
        <w:t>03 临床表现：反复发作的具体半定型、意识和局灶，不能抖动一概癫痫。</w:t>
      </w:r>
    </w:p>
    <w:p>
      <w:r>
        <w:t>04 病史采集重点：每类发作频率持续、药名剂量依从性失败原因和生活影响。</w:t>
      </w:r>
    </w:p>
    <w:p>
      <w:r>
        <w:t>05 神经系统专科检查：运动感觉语言认知精神及神经心理基线。</w:t>
      </w:r>
    </w:p>
    <w:p>
      <w:r>
        <w:t>06 神经定位诊断：症状区、起始区、影像病灶、致痫假说和功能区多模态对应。</w:t>
      </w:r>
    </w:p>
    <w:p>
      <w:r>
        <w:t>07 定性诊断：核发作诊断和药物失败完整条件，不能仅用过两药就难治。影像、临床、术中和病理确定度分别表述。。</w:t>
      </w:r>
    </w:p>
    <w:p>
      <w:r>
        <w:t>08 实验室检查：药物浓度及手术常规按实际，代谢发作鉴别。</w:t>
      </w:r>
    </w:p>
    <w:p>
      <w:r>
        <w:t>09 影像检查：MRI癫痫协议、视频EEG及PET/SPECT等实际完成项目。</w:t>
      </w:r>
    </w:p>
    <w:p>
      <w:r>
        <w:t>10 诊断标准：核发作诊断和药物失败完整条件，不能仅用过两药就难治。只采用已核验且适用本例的标准，未满足必要项保留待定。。</w:t>
      </w:r>
    </w:p>
    <w:p>
      <w:r>
        <w:t>11 诊断依据：逐项对应本例每类发作频率持续、药名剂量依从性失败原因和生活影响、运动感觉语言认知精神及神经心理基线与MRI癫痫协议、视频EEG及PET/SPECT等实际完成项目的实际资料；推理不能替代缺失检查。。</w:t>
      </w:r>
    </w:p>
    <w:p>
      <w:r>
        <w:t>12 鉴别诊断：非癫痫事件、晕厥、急性症状性发作和误分类。</w:t>
      </w:r>
    </w:p>
    <w:p>
      <w:r>
        <w:t>13 分型分级与危险程度：发作类型与癫痫分类版本、结局Engel/ILAE需要真实时间窗。</w:t>
      </w:r>
    </w:p>
    <w:p>
      <w:r>
        <w:t>14 保守治疗原则：优化实际药物和依从、共病心理照护，外科评估不等于决定手术。</w:t>
      </w:r>
    </w:p>
    <w:p>
      <w:r>
        <w:t>15 手术适应性评估：药物难治或其他适当候选转专科，多模态一致性功能风险与目标。</w:t>
      </w:r>
    </w:p>
    <w:p>
      <w:r>
        <w:t>16 常见术式：切除断连、颅内电极评估或神经调控按真实讨论。实际方式以术者记录为准。。</w:t>
      </w:r>
    </w:p>
    <w:p>
      <w:r>
        <w:t>17 术前风险：语言记忆视野运动、发作加重和评估侵入风险。</w:t>
      </w:r>
    </w:p>
    <w:p>
      <w:r>
        <w:t>18 术后监测：实际发作日志、神经认知、药物执行和手术阶段。</w:t>
      </w:r>
    </w:p>
    <w:p>
      <w:r>
        <w:t>19 并发症：持续发作、出血感染与功能认知精神变化。</w:t>
      </w:r>
    </w:p>
    <w:p>
      <w:r>
        <w:t>20 首次病程模板</w:t>
      </w:r>
    </w:p>
    <w:p>
      <w:r>
        <w:t>以下结构模板中的变量只允许用本例真实资料替换；本文件各模板均遵守此规则，正式输出前删除全部未填变量。</w:t>
      </w:r>
    </w:p>
    <w:p>
      <w:pPr>
        <w:keepNext/>
      </w:pPr>
      <w:r>
        <w:t>【记录日期时间】 首次病程记录</w:t>
      </w:r>
    </w:p>
    <w:p>
      <w:pPr>
        <w:pStyle w:val="MedicalCode"/>
        <w:keepNext/>
        <w:keepLines w:val="0"/>
      </w:pPr>
      <w:r>
        <w:t>```text</w:t>
      </w:r>
    </w:p>
    <w:p>
      <w:pPr>
        <w:pStyle w:val="MedicalCode"/>
        <w:keepLines w:val="0"/>
      </w:pPr>
      <w:r>
        <w:t>病例特点：【本次每类发作频率持续、药名剂量依从性失败原因和生活影响的真实内容】；查体【运动感觉语言认知精神及神经心理基线的实查与时间】；检查【MRI癫痫协议、视频EEG及PET/SPECT等实际完成项目的实际结果】。</w:t>
      </w:r>
    </w:p>
    <w:p>
      <w:pPr>
        <w:pStyle w:val="MedicalCode"/>
        <w:keepLines w:val="0"/>
      </w:pPr>
      <w:r>
        <w:t>初步诊断：【本例支持的药物难治性癫痫与术前评估或待查诊断与程度】</w:t>
      </w:r>
    </w:p>
    <w:p>
      <w:pPr>
        <w:pStyle w:val="MedicalCode"/>
        <w:keepLines w:val="0"/>
      </w:pPr>
      <w:r>
        <w:t>诊断依据：【实际症状体征及检查对应】</w:t>
      </w:r>
    </w:p>
    <w:p>
      <w:pPr>
        <w:pStyle w:val="MedicalCode"/>
        <w:keepLines w:val="0"/>
      </w:pPr>
      <w:r>
        <w:t>鉴别诊断：【围绕非癫痫事件、晕厥、急性症状性发作和误分类的本例支持反对及缺项】</w:t>
      </w:r>
    </w:p>
    <w:p>
      <w:pPr>
        <w:pStyle w:val="MedicalCode"/>
        <w:keepLines w:val="0"/>
      </w:pPr>
      <w:r>
        <w:t>诊疗计划：【针对药物难治或其他适当候选转专科，多模态一致性功能风险与目标的实际评估、治疗和复查计划】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实际发作日志、神经认知、药物执行和手术阶段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实际发作日志、神经认知、药物执行和手术阶段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症状区、起始区、影像病灶、致痫假说和功能区多模态对应的本例证据】及【持续发作、出血感染与功能认知精神变化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药物难治或其他适当候选转专科，多模态一致性功能风险与目标的个体获益风险】和【发作与生活质量、药物和结局工具，不能术后无短期发作即根治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简要病情与术前诊断：【支持程度和症状区、起始区、影像病灶、致痫假说和功能区多模态对应对应事实】</w:t>
      </w:r>
    </w:p>
    <w:p>
      <w:pPr>
        <w:pStyle w:val="MedicalCode"/>
        <w:keepLines w:val="0"/>
      </w:pPr>
      <w:r>
        <w:t>适应性与目标：【本例药物难治或其他适当候选转专科，多模态一致性功能风险与目标评估结论】</w:t>
      </w:r>
    </w:p>
    <w:p>
      <w:pPr>
        <w:pStyle w:val="MedicalCode"/>
        <w:keepLines w:val="0"/>
      </w:pPr>
      <w:r>
        <w:t>拟行方案：【医师已决定术式及麻醉】</w:t>
      </w:r>
    </w:p>
    <w:p>
      <w:pPr>
        <w:pStyle w:val="MedicalCode"/>
        <w:keepLines w:val="0"/>
      </w:pPr>
      <w:r>
        <w:t>风险与准备：【语言记忆视野运动、发作加重和评估侵入风险相关个体风险、实际准备与缺项】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实际发作日志、神经认知、药物执行和手术阶段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持续发作、出血感染与功能认知精神变化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入院情况：【实际症状、症状区、起始区、影像病灶、致痫假说和功能区多模态对应相关查体及检查】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出院安排：【发作与生活质量、药物和结局工具，不能术后无短期发作即根治对应实际决定】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本病随访：【针对发作与生活质量、药物和结局工具，不能术后无短期发作即根治的实际时间科室项目】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长期随访：发作与生活质量、药物和结局工具，不能术后无短期发作即根治。每次记录实际随访日期、方式、来源、功能及检查，失访不能当无复发。</w:t>
      </w:r>
    </w:p>
    <w:p>
      <w:r>
        <w:t>31 最终质控：核本病解剖和责任病灶、真实神经查体、发作类型与癫痫分类版本、结局Engel/ILAE需要真实时间窗的变量来源；检查语言记忆视野运动、发作加重和评估侵入风险相关实际状态，禁止将风险写为已发生并发症。术前未手术不套术后模板，10终审。</w:t>
      </w:r>
    </w:p>
    <w:p>
      <w:r>
        <w:t>32 参考指南及版本：[F01] Timing of Referral to Evaluate for Epilepsy Surgery Expert Consensus，2022，ILAE Surgical Therapies Commission；[F03] Definition of Drug Resistant Epilepsy Consensus Proposal，2009在线/2010卷期，ILAE Commission on Therapeutic Strategies。核验日期2026年10月26日；适用范围与全文访问限制见本文件参考指南说明。</w:t>
      </w:r>
    </w:p>
    <w:p>
      <w:pPr>
        <w:pStyle w:val="Heading2"/>
      </w:pPr>
      <w:bookmarkStart w:id="191" w:name="sec_91"/>
      <w:r>
        <w:t>颅内电极监测与癫痫切除</w:t>
      </w:r>
      <w:bookmarkEnd w:id="191"/>
    </w:p>
    <w:p>
      <w:r>
        <w:t>01 疾病定义：为验证致痫假说置入颅内电极，或据评估切除断连。</w:t>
      </w:r>
    </w:p>
    <w:p>
      <w:r>
        <w:t>02 病因及发病机制：侵入定位需假说和风险；电极植入不是切除手术。</w:t>
      </w:r>
    </w:p>
    <w:p>
      <w:r>
        <w:t>03 临床表现：记录目标发作和电临床，刺激诱发与自发事件区分。</w:t>
      </w:r>
    </w:p>
    <w:p>
      <w:r>
        <w:t>04 病史采集重点：既往评估一致分歧、目标发作、抗发作药和撤药实际计划。</w:t>
      </w:r>
    </w:p>
    <w:p>
      <w:r>
        <w:t>05 神经系统专科检查：定位相关和认知语言基线，监测期反复神经评估。</w:t>
      </w:r>
    </w:p>
    <w:p>
      <w:r>
        <w:t>06 神经定位诊断：真实电极靶点轨迹、记录区和功能区，不能型号推部位。</w:t>
      </w:r>
    </w:p>
    <w:p>
      <w:r>
        <w:t>07 定性诊断：电临床与影像共同验证，发作未捕捉不能虚构起始区。影像、临床、术中和病理确定度分别表述。。</w:t>
      </w:r>
    </w:p>
    <w:p>
      <w:r>
        <w:t>08 实验室检查：凝血和感染常规，药物执行及浓度按需。</w:t>
      </w:r>
    </w:p>
    <w:p>
      <w:r>
        <w:t>09 影像检查：植入后真实位置影像、出血及原病灶。</w:t>
      </w:r>
    </w:p>
    <w:p>
      <w:r>
        <w:t>10 诊断标准：电临床与影像共同验证，发作未捕捉不能虚构起始区。只采用已核验且适用本例的标准，未满足必要项保留待定。。</w:t>
      </w:r>
    </w:p>
    <w:p>
      <w:r>
        <w:t>11 诊断依据：逐项对应本例既往评估一致分歧、目标发作、抗发作药和撤药实际计划、定位相关和认知语言基线，监测期反复神经评估与植入后真实位置影像、出血及原病灶的实际资料；推理不能替代缺失检查。。</w:t>
      </w:r>
    </w:p>
    <w:p>
      <w:r>
        <w:t>12 鉴别诊断：传播区、非目标事件和伪差。</w:t>
      </w:r>
    </w:p>
    <w:p>
      <w:r>
        <w:t>13 分型分级与危险程度：按真实监测结论；术后结局有观察期不提前赋Engel I。</w:t>
      </w:r>
    </w:p>
    <w:p>
      <w:r>
        <w:t>14 保守治疗原则：监测期安全、发作救援与药物调整由团队，不自动撤药。</w:t>
      </w:r>
    </w:p>
    <w:p>
      <w:r>
        <w:t>15 手术适应性评估：监测获益、轨迹血管和后续切除功能风险。</w:t>
      </w:r>
    </w:p>
    <w:p>
      <w:r>
        <w:t>16 常见术式：真实SEEG或网格等植入、取出、切除/断连各分事件。实际方式以术者记录为准。。</w:t>
      </w:r>
    </w:p>
    <w:p>
      <w:r>
        <w:t>17 术前风险：出血感染、发作持续和功能损伤。</w:t>
      </w:r>
    </w:p>
    <w:p>
      <w:r>
        <w:t>18 术后监测：电极在位取出、发作时间、影像与神经。</w:t>
      </w:r>
    </w:p>
    <w:p>
      <w:r>
        <w:t>19 并发症：电极出血感染、持续发作、语言记忆缺损。</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既往评估一致分歧、目标发作、抗发作药和撤药实际计划的真实内容】；查体【定位相关和认知语言基线，监测期反复神经评估的实查与时间】；检查【植入后真实位置影像、出血及原病灶的实际结果】。</w:t>
      </w:r>
    </w:p>
    <w:p>
      <w:pPr>
        <w:pStyle w:val="MedicalCode"/>
        <w:keepLines w:val="0"/>
      </w:pPr>
      <w:r>
        <w:t>初步诊断：【本例支持的颅内电极监测与癫痫切除或待查诊断与程度】</w:t>
      </w:r>
    </w:p>
    <w:p>
      <w:pPr>
        <w:pStyle w:val="MedicalCode"/>
        <w:keepLines w:val="0"/>
      </w:pPr>
      <w:r>
        <w:t>诊断依据：【实际症状体征及检查对应】</w:t>
      </w:r>
    </w:p>
    <w:p>
      <w:pPr>
        <w:pStyle w:val="MedicalCode"/>
        <w:keepLines w:val="0"/>
      </w:pPr>
      <w:r>
        <w:t>鉴别诊断：【围绕传播区、非目标事件和伪差的本例支持反对及缺项】</w:t>
      </w:r>
    </w:p>
    <w:p>
      <w:pPr>
        <w:pStyle w:val="MedicalCode"/>
        <w:keepLines w:val="0"/>
      </w:pPr>
      <w:r>
        <w:t>诊疗计划：【针对监测获益、轨迹血管和后续切除功能风险的实际评估、治疗和复查计划】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电极在位取出、发作时间、影像与神经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电极在位取出、发作时间、影像与神经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真实电极靶点轨迹、记录区和功能区，不能型号推部位的本例证据】及【电极出血感染、持续发作、语言记忆缺损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监测获益、轨迹血管和后续切除功能风险的个体获益风险】和【病理、发作长期结局和药物调整责任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简要病情与术前诊断：【支持程度和真实电极靶点轨迹、记录区和功能区，不能型号推部位对应事实】</w:t>
      </w:r>
    </w:p>
    <w:p>
      <w:pPr>
        <w:pStyle w:val="MedicalCode"/>
        <w:keepLines w:val="0"/>
      </w:pPr>
      <w:r>
        <w:t>适应性与目标：【本例监测获益、轨迹血管和后续切除功能风险评估结论】</w:t>
      </w:r>
    </w:p>
    <w:p>
      <w:pPr>
        <w:pStyle w:val="MedicalCode"/>
        <w:keepLines w:val="0"/>
      </w:pPr>
      <w:r>
        <w:t>拟行方案：【医师已决定术式及麻醉】</w:t>
      </w:r>
    </w:p>
    <w:p>
      <w:pPr>
        <w:pStyle w:val="MedicalCode"/>
        <w:keepLines w:val="0"/>
      </w:pPr>
      <w:r>
        <w:t>风险与准备：【出血感染、发作持续和功能损伤相关个体风险、实际准备与缺项】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电极在位取出、发作时间、影像与神经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电极出血感染、持续发作、语言记忆缺损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入院情况：【实际症状、真实电极靶点轨迹、记录区和功能区，不能型号推部位相关查体及检查】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出院安排：【病理、发作长期结局和药物调整责任对应实际决定】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本病随访：【针对病理、发作长期结局和药物调整责任的实际时间科室项目】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长期随访：病理、发作长期结局和药物调整责任。每次记录实际随访日期、方式、来源、功能及检查，失访不能当无复发。</w:t>
      </w:r>
    </w:p>
    <w:p>
      <w:r>
        <w:t>31 最终质控：核本病解剖和责任病灶、真实神经查体、按真实监测结论；术后结局有观察期不提前赋Engel I的变量来源；检查出血感染、发作持续和功能损伤相关实际状态，禁止将风险写为已发生并发症。术前未手术不套术后模板，10终审。</w:t>
      </w:r>
    </w:p>
    <w:p>
      <w:r>
        <w:t>32 参考指南及版本：[F01] Timing of Referral to Evaluate for Epilepsy Surgery Expert Consensus，2022，ILAE Surgical Therapies Commission；[F03] Definition of Drug Resistant Epilepsy Consensus Proposal，2009在线/2010卷期，ILAE Commission on Therapeutic Strategies。核验日期2026年10月26日；适用范围与全文访问限制见本文件参考指南说明。</w:t>
      </w:r>
    </w:p>
    <w:p>
      <w:pPr>
        <w:pStyle w:val="Heading2"/>
      </w:pPr>
      <w:bookmarkStart w:id="244" w:name="sec_144"/>
      <w:r>
        <w:t>帕金森病DBS与运动障碍调控</w:t>
      </w:r>
      <w:bookmarkEnd w:id="244"/>
    </w:p>
    <w:p>
      <w:r>
        <w:t>01 疾病定义：在适用运动障碍患者中植入电极及发生器进行调控，不替代病因诊断。</w:t>
      </w:r>
    </w:p>
    <w:p>
      <w:r>
        <w:t>02 病因及发病机制：神经网络调节；术式靶点和后续程控共同影响但不同阶段。</w:t>
      </w:r>
    </w:p>
    <w:p>
      <w:r>
        <w:t>03 临床表现：运动波动异动震颤或其他实际目标，非运动问题同评。</w:t>
      </w:r>
    </w:p>
    <w:p>
      <w:r>
        <w:t>04 病史采集重点：诊断病程、左旋多巴反应、开关期、药物认知精神和目标。</w:t>
      </w:r>
    </w:p>
    <w:p>
      <w:r>
        <w:t>05 神经系统专科检查：标准化实际开关期运动、步态言语吞咽及认知精神。</w:t>
      </w:r>
    </w:p>
    <w:p>
      <w:r>
        <w:t>06 神经定位诊断：真实STN GPi或其他适用靶点侧别轨迹，不由病名自动确定。</w:t>
      </w:r>
    </w:p>
    <w:p>
      <w:r>
        <w:t>07 定性诊断：明确原病诊断、药物与团队评估，不能DBS候选等所有帕金森综合征。影像、临床、术中和病理确定度分别表述。。</w:t>
      </w:r>
    </w:p>
    <w:p>
      <w:r>
        <w:t>08 实验室检查：手术凝血器官基线和共病。</w:t>
      </w:r>
    </w:p>
    <w:p>
      <w:r>
        <w:t>09 影像检查：MRI靶点安全评估和实际电极定位影像。</w:t>
      </w:r>
    </w:p>
    <w:p>
      <w:r>
        <w:t>10 诊断标准：明确原病诊断、药物与团队评估，不能DBS候选等所有帕金森综合征。只采用已核验且适用本例的标准，未满足必要项保留待定。。</w:t>
      </w:r>
    </w:p>
    <w:p>
      <w:r>
        <w:t>11 诊断依据：逐项对应本例诊断病程、左旋多巴反应、开关期、药物认知精神和目标、标准化实际开关期运动、步态言语吞咽及认知精神与MRI靶点安全评估和实际电极定位影像的实际资料；推理不能替代缺失检查。。</w:t>
      </w:r>
    </w:p>
    <w:p>
      <w:r>
        <w:t>12 鉴别诊断：非典型帕金森综合征、药源性与其他震颤。</w:t>
      </w:r>
    </w:p>
    <w:p>
      <w:r>
        <w:t>13 分型分级与危险程度：MDS UPDRS等完整项目与开关药/刺激条件；震颤肌张力用自身适用表。</w:t>
      </w:r>
    </w:p>
    <w:p>
      <w:r>
        <w:t>14 保守治疗原则：优化实际药物与康复，个体认知精神及现实目标。</w:t>
      </w:r>
    </w:p>
    <w:p>
      <w:r>
        <w:t>15 手术适应性评估：药物难以控制目标症状、反应和认知精神手术风险综合。</w:t>
      </w:r>
    </w:p>
    <w:p>
      <w:r>
        <w:t>16 常见术式：DBS电极植入、发生器植入、开机程控分阶段实际记录。实际方式以术者记录为准。。</w:t>
      </w:r>
    </w:p>
    <w:p>
      <w:r>
        <w:t>17 术前风险：出血感染、电极错位、言语认知精神及平衡副作用。</w:t>
      </w:r>
    </w:p>
    <w:p>
      <w:r>
        <w:t>18 术后监测：神经切口影像、开机或未开机、实际药物与程控变化。</w:t>
      </w:r>
    </w:p>
    <w:p>
      <w:r>
        <w:t>19 并发症：硬件感染断裂移位、电池耗竭及刺激不良反应。</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诊断病程、左旋多巴反应、开关期、药物认知精神和目标的真实内容】；查体【标准化实际开关期运动、步态言语吞咽及认知精神的实查与时间】；检查【MRI靶点安全评估和实际电极定位影像的实际结果】。</w:t>
      </w:r>
    </w:p>
    <w:p>
      <w:pPr>
        <w:pStyle w:val="MedicalCode"/>
        <w:keepLines w:val="0"/>
      </w:pPr>
      <w:r>
        <w:t>初步诊断：【本例支持的帕金森病DBS与运动障碍调控或待查诊断与程度】</w:t>
      </w:r>
    </w:p>
    <w:p>
      <w:pPr>
        <w:pStyle w:val="MedicalCode"/>
        <w:keepLines w:val="0"/>
      </w:pPr>
      <w:r>
        <w:t>诊断依据：【实际症状体征及检查对应】</w:t>
      </w:r>
    </w:p>
    <w:p>
      <w:pPr>
        <w:pStyle w:val="MedicalCode"/>
        <w:keepLines w:val="0"/>
      </w:pPr>
      <w:r>
        <w:t>鉴别诊断：【围绕非典型帕金森综合征、药源性与其他震颤的本例支持反对及缺项】</w:t>
      </w:r>
    </w:p>
    <w:p>
      <w:pPr>
        <w:pStyle w:val="MedicalCode"/>
        <w:keepLines w:val="0"/>
      </w:pPr>
      <w:r>
        <w:t>诊疗计划：【针对药物难以控制目标症状、反应和认知精神手术风险综合的实际评估、治疗和复查计划】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切口影像、开机或未开机、实际药物与程控变化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切口影像、开机或未开机、实际药物与程控变化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今日随【实际姓名】副主任医师查房，患者【当前功能】，查体【当次资料】，检查【动态证据】。副主任医师结合【真实STN GPi或其他适用靶点侧别轨迹，不由病名自动确定的本例证据】及【硬件感染断裂移位、电池耗竭及刺激不良反应的相关风险】，分析【实际定位定性与方案优化意见】，后续【真实计划及执行进度】。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药物难以控制目标症状、反应和认知精神手术风险综合的个体获益风险】和【逐次参数来源、症状开关条件和药物，不自动生成刺激频率幅度脉宽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简要病情与术前诊断：【支持程度和真实STN GPi或其他适用靶点侧别轨迹，不由病名自动确定对应事实】</w:t>
      </w:r>
    </w:p>
    <w:p>
      <w:pPr>
        <w:pStyle w:val="MedicalCode"/>
        <w:keepLines w:val="0"/>
      </w:pPr>
      <w:r>
        <w:t>适应性与目标：【本例药物难以控制目标症状、反应和认知精神手术风险综合评估结论】</w:t>
      </w:r>
    </w:p>
    <w:p>
      <w:pPr>
        <w:pStyle w:val="MedicalCode"/>
        <w:keepLines w:val="0"/>
      </w:pPr>
      <w:r>
        <w:t>拟行方案：【医师已决定术式及麻醉】</w:t>
      </w:r>
    </w:p>
    <w:p>
      <w:pPr>
        <w:pStyle w:val="MedicalCode"/>
        <w:keepLines w:val="0"/>
      </w:pPr>
      <w:r>
        <w:t>风险与准备：【出血感染、电极错位、言语认知精神及平衡副作用相关个体风险、实际准备与缺项】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切口影像、开机或未开机、实际药物与程控变化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硬件感染断裂移位、电池耗竭及刺激不良反应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入院情况：【实际症状、真实STN GPi或其他适用靶点侧别轨迹，不由病名自动确定相关查体及检查】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出院安排：【逐次参数来源、症状开关条件和药物，不自动生成刺激频率幅度脉宽对应实际决定】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本病随访：【针对逐次参数来源、症状开关条件和药物，不自动生成刺激频率幅度脉宽的实际时间科室项目】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长期随访：逐次参数来源、症状开关条件和药物，不自动生成刺激频率幅度脉宽。每次记录实际随访日期、方式、来源、功能及检查，失访不能当无复发。</w:t>
      </w:r>
    </w:p>
    <w:p>
      <w:r>
        <w:t>31 最终质控：核本病解剖和责任病灶、真实神经查体、MDS UPDRS等完整项目与开关药/刺激条件；震颤肌张力用自身适用表的变量来源；检查出血感染、电极错位、言语认知精神及平衡副作用相关实际状态，禁止将风险写为已发生并发症。术前未手术不套术后模板，10终审。</w:t>
      </w:r>
    </w:p>
    <w:p>
      <w:r>
        <w:t>32 参考指南及版本：[F02] CNS Guideline STN and GPi Deep Brain Stimulation for Parkinson Disease，2018，Congress of Neurological Surgeons。核验日期2026年10月26日；适用范围与全文访问限制见本文件参考指南说明。</w:t>
      </w:r>
    </w:p>
    <w:p>
      <w:pPr>
        <w:pStyle w:val="Heading2"/>
      </w:pPr>
      <w:bookmarkStart w:id="297" w:name="sec_197"/>
      <w:r>
        <w:t>三叉神经痛与微血管减压</w:t>
      </w:r>
      <w:bookmarkEnd w:id="297"/>
    </w:p>
    <w:p>
      <w:r>
        <w:t>01 疾病定义：三叉分布典型发作性疼痛需按临床分类，神经血管接触并不自动为病因。</w:t>
      </w:r>
    </w:p>
    <w:p>
      <w:r>
        <w:t>02 病因及发病机制：经典神经血管冲突、继发性结构病及特发性按证据分层。</w:t>
      </w:r>
    </w:p>
    <w:p>
      <w:r>
        <w:t>03 临床表现：短暂电击诱发痛与持续背景痛区分，支别和触发点。</w:t>
      </w:r>
    </w:p>
    <w:p>
      <w:r>
        <w:t>04 病史采集重点：疼痛支别诱因持续、药物效果副作用和既往消融。</w:t>
      </w:r>
    </w:p>
    <w:p>
      <w:r>
        <w:t>05 神经系统专科检查：三叉感觉角膜咀嚼、其他颅神经，明显感觉障碍提示继发性。</w:t>
      </w:r>
    </w:p>
    <w:p>
      <w:r>
        <w:t>06 神经定位诊断：患侧分支与根出入区、责任血管压迫形态。</w:t>
      </w:r>
    </w:p>
    <w:p>
      <w:r>
        <w:t>07 定性诊断：临床疼痛特点与病因证据，不单凭MRI血管接触确诊。影像、临床、术中和病理确定度分别表述。。</w:t>
      </w:r>
    </w:p>
    <w:p>
      <w:r>
        <w:t>08 实验室检查：手术常规及药物安全检查按实。</w:t>
      </w:r>
    </w:p>
    <w:p>
      <w:r>
        <w:t>09 影像检查：高分辨MRI神经血管与增强排继发，接触不等压迫致病。</w:t>
      </w:r>
    </w:p>
    <w:p>
      <w:r>
        <w:t>10 诊断标准：临床疼痛特点与病因证据，不单凭MRI血管接触确诊。只采用已核验且适用本例的标准，未满足必要项保留待定。。</w:t>
      </w:r>
    </w:p>
    <w:p>
      <w:r>
        <w:t>11 诊断依据：逐项对应本例疼痛支别诱因持续、药物效果副作用和既往消融、三叉感觉角膜咀嚼、其他颅神经，明显感觉障碍提示继发性与高分辨MRI神经血管与增强排继发，接触不等压迫致病的实际资料；推理不能替代缺失检查。。</w:t>
      </w:r>
    </w:p>
    <w:p>
      <w:r>
        <w:t>12 鉴别诊断：牙源性带状疱疹后、持续性面痛及肿瘤脱髓鞘。</w:t>
      </w:r>
    </w:p>
    <w:p>
      <w:r>
        <w:t>13 分型分级与危险程度：疼痛量表和用药频率需真实记录，不以术名判治愈。</w:t>
      </w:r>
    </w:p>
    <w:p>
      <w:r>
        <w:t>14 保守治疗原则：药物治疗与耐受评估，具体用药按真实处方。</w:t>
      </w:r>
    </w:p>
    <w:p>
      <w:r>
        <w:t>15 手术适应性评估：症状难控、适用经典病因、年龄功能及减压/消融放射替代风险。</w:t>
      </w:r>
    </w:p>
    <w:p>
      <w:r>
        <w:t>16 常见术式：微血管减压或其他真实方式，不能默认责任血管为小脑上动脉。实际方式以术者记录为准。。</w:t>
      </w:r>
    </w:p>
    <w:p>
      <w:r>
        <w:t>17 术前风险：听力面神经感觉损伤、CSF漏和疼痛持续复发。</w:t>
      </w:r>
    </w:p>
    <w:p>
      <w:r>
        <w:t>18 术后监测：真实疼痛支别频率及药物、面感觉角膜听力平衡。</w:t>
      </w:r>
    </w:p>
    <w:p>
      <w:r>
        <w:t>19 并发症：听损面瘫、漏感染及疼痛复发。</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疼痛支别诱因持续、药物效果副作用和既往消融的真实内容】；查体【三叉感觉角膜咀嚼、其他颅神经，明显感觉障碍提示继发性的实查与时间】；检查【高分辨MRI神经血管与增强排继发，接触不等压迫致病的实际结果】。</w:t>
      </w:r>
    </w:p>
    <w:p>
      <w:pPr>
        <w:pStyle w:val="MedicalCode"/>
        <w:keepLines w:val="0"/>
      </w:pPr>
      <w:r>
        <w:t>初步诊断：【本例支持的三叉神经痛与微血管减压或待查诊断与程度】</w:t>
      </w:r>
    </w:p>
    <w:p>
      <w:pPr>
        <w:pStyle w:val="MedicalCode"/>
        <w:keepLines w:val="0"/>
      </w:pPr>
      <w:r>
        <w:t>诊断依据：【实际症状体征及检查对应】</w:t>
      </w:r>
    </w:p>
    <w:p>
      <w:pPr>
        <w:pStyle w:val="MedicalCode"/>
        <w:keepLines w:val="0"/>
      </w:pPr>
      <w:r>
        <w:t>鉴别诊断：【围绕牙源性带状疱疹后、持续性面痛及肿瘤脱髓鞘的本例支持反对及缺项】</w:t>
      </w:r>
    </w:p>
    <w:p>
      <w:pPr>
        <w:pStyle w:val="MedicalCode"/>
        <w:keepLines w:val="0"/>
      </w:pPr>
      <w:r>
        <w:t>诊疗计划：【针对症状难控、适用经典病因、年龄功能及减压/消融放射替代风险的实际评估、治疗和复查计划】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真实疼痛支别频率及药物、面感觉角膜听力平衡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真实疼痛支别频率及药物、面感觉角膜听力平衡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患侧分支与根出入区、责任血管压迫形态的本例证据】及【听损面瘫、漏感染及疼痛复发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症状难控、适用经典病因、年龄功能及减压/消融放射替代风险的个体获益风险】和【疼痛与用药功能长期评价，停药由医师而非立即默认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简要病情与术前诊断：【支持程度和患侧分支与根出入区、责任血管压迫形态对应事实】</w:t>
      </w:r>
    </w:p>
    <w:p>
      <w:pPr>
        <w:pStyle w:val="MedicalCode"/>
        <w:keepLines w:val="0"/>
      </w:pPr>
      <w:r>
        <w:t>适应性与目标：【本例症状难控、适用经典病因、年龄功能及减压/消融放射替代风险评估结论】</w:t>
      </w:r>
    </w:p>
    <w:p>
      <w:pPr>
        <w:pStyle w:val="MedicalCode"/>
        <w:keepLines w:val="0"/>
      </w:pPr>
      <w:r>
        <w:t>拟行方案：【医师已决定术式及麻醉】</w:t>
      </w:r>
    </w:p>
    <w:p>
      <w:pPr>
        <w:pStyle w:val="MedicalCode"/>
        <w:keepLines w:val="0"/>
      </w:pPr>
      <w:r>
        <w:t>风险与准备：【听力面神经感觉损伤、CSF漏和疼痛持续复发相关个体风险、实际准备与缺项】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真实疼痛支别频率及药物、面感觉角膜听力平衡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听损面瘫、漏感染及疼痛复发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入院情况：【实际症状、患侧分支与根出入区、责任血管压迫形态相关查体及检查】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出院安排：【疼痛与用药功能长期评价，停药由医师而非立即默认对应实际决定】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本病随访：【针对疼痛与用药功能长期评价，停药由医师而非立即默认的实际时间科室项目】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长期随访：疼痛与用药功能长期评价，停药由医师而非立即默认。每次记录实际随访日期、方式、来源、功能及检查，失访不能当无复发。</w:t>
      </w:r>
    </w:p>
    <w:p>
      <w:r>
        <w:t>31 最终质控：核本病解剖和责任病灶、真实神经查体、疼痛量表和用药频率需真实记录，不以术名判治愈的变量来源；检查听力面神经感觉损伤、CSF漏和疼痛持续复发相关实际状态，禁止将风险写为已发生并发症。术前未手术不套术后模板，10终审。</w:t>
      </w:r>
    </w:p>
    <w:p>
      <w:r>
        <w:t>32 参考指南及版本：[F04] European Academy of Neurology Guideline on Trigeminal Neuralgia，2019，EAN；[F05] 三叉神经痛治疗指南 2026版，2026，中国医师协会周围神经专业委员会颅神经专业学组。核验日期2026年10月26日；适用范围与全文访问限制见本文件参考指南说明。</w:t>
      </w:r>
    </w:p>
    <w:p>
      <w:pPr>
        <w:pStyle w:val="Heading2"/>
      </w:pPr>
      <w:bookmarkStart w:id="350" w:name="sec_250"/>
      <w:r>
        <w:t>面肌痉挛与其他功能疼痛手术</w:t>
      </w:r>
      <w:bookmarkEnd w:id="350"/>
    </w:p>
    <w:p>
      <w:r>
        <w:t>01 疾病定义：患侧面肌不自主收缩或其他功能疼痛需分别确诊。</w:t>
      </w:r>
    </w:p>
    <w:p>
      <w:r>
        <w:t>02 病因及发病机制：神经根血管冲突、继发性病变或不同疼痛机制。</w:t>
      </w:r>
    </w:p>
    <w:p>
      <w:r>
        <w:t>03 临床表现：眼轮匝到同侧面肌痉挛等真实分布，疼痛适用自身标准。</w:t>
      </w:r>
    </w:p>
    <w:p>
      <w:r>
        <w:t>04 病史采集重点：症状顺序诱因、肉毒素/药物效果、既往治疗。</w:t>
      </w:r>
    </w:p>
    <w:p>
      <w:r>
        <w:t>05 神经系统专科检查：面神经各分支、听力眼闭合及其他神经检查。</w:t>
      </w:r>
    </w:p>
    <w:p>
      <w:r>
        <w:t>06 神经定位诊断：面神经根出区与血管，疼痛病例按实际根丛网络定位。</w:t>
      </w:r>
    </w:p>
    <w:p>
      <w:r>
        <w:t>07 定性诊断：临床表现与影像综合，不把所有面部抽动定面肌痉挛；本次未核得面肌痉挛或全部疼痛手术的专门指南全文，需按本院已核验标准进一步复核，不用三叉痛指南替代其诊断标准。影像、临床、术中和病理确定度分别表述。。</w:t>
      </w:r>
    </w:p>
    <w:p>
      <w:r>
        <w:t>08 实验室检查：手术和基础病常规，电生理仅实际检查。</w:t>
      </w:r>
    </w:p>
    <w:p>
      <w:r>
        <w:t>09 影像检查：MRI排继发并评冲突；其他疼痛按责任部位检查。</w:t>
      </w:r>
    </w:p>
    <w:p>
      <w:r>
        <w:t>10 诊断标准：临床表现与影像综合，不把所有面部抽动定面肌痉挛；本次未核得面肌痉挛或全部疼痛手术的专门指南全文，需按本院已核验标准进一步复核，不用三叉痛指南替代其诊断标准。只采用已核验且适用本例的标准，未满足必要项保留待定。。</w:t>
      </w:r>
    </w:p>
    <w:p>
      <w:r>
        <w:t>11 诊断依据：逐项对应本例症状顺序诱因、肉毒素/药物效果、既往治疗、面神经各分支、听力眼闭合及其他神经检查与MRI排继发并评冲突；其他疼痛按责任部位检查的实际资料；推理不能替代缺失检查。。</w:t>
      </w:r>
    </w:p>
    <w:p>
      <w:r>
        <w:t>12 鉴别诊断：抽动症、面瘫后联带运动、局灶发作及其他疼痛病因。</w:t>
      </w:r>
    </w:p>
    <w:p>
      <w:r>
        <w:t>13 分型分级与危险程度：痉挛和疼痛频度功能影响用真实工具，不能由监测单值判效果。</w:t>
      </w:r>
    </w:p>
    <w:p>
      <w:r>
        <w:t>14 保守治疗原则：药物局部治疗康复与心理支持按具体疾病。</w:t>
      </w:r>
    </w:p>
    <w:p>
      <w:r>
        <w:t>15 手术适应性评估：严重症状、替代效果和手术风险，慢性疼痛适应性需专科确认。</w:t>
      </w:r>
    </w:p>
    <w:p>
      <w:r>
        <w:t>16 常见术式：MVD或适用立体定向/其他功能操作必须本院准入真实开展。实际方式以术者记录为准。。</w:t>
      </w:r>
    </w:p>
    <w:p>
      <w:r>
        <w:t>17 术前风险：面听神经、角膜、CSF漏及术效不确定。</w:t>
      </w:r>
    </w:p>
    <w:p>
      <w:r>
        <w:t>18 术后监测：痉挛频率面听功能、疼痛与实际药物。</w:t>
      </w:r>
    </w:p>
    <w:p>
      <w:r>
        <w:t>19 并发症：面瘫听损感染、持续症状和复发。</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症状顺序诱因、肉毒素/药物效果、既往治疗的真实内容】；查体【面神经各分支、听力眼闭合及其他神经检查的实查与时间】；检查【MRI排继发并评冲突；其他疼痛按责任部位检查的实际结果】。</w:t>
      </w:r>
    </w:p>
    <w:p>
      <w:pPr>
        <w:pStyle w:val="MedicalCode"/>
        <w:keepLines w:val="0"/>
      </w:pPr>
      <w:r>
        <w:t>初步诊断：【本例支持的面肌痉挛与其他功能疼痛手术或待查诊断与程度】</w:t>
      </w:r>
    </w:p>
    <w:p>
      <w:pPr>
        <w:pStyle w:val="MedicalCode"/>
        <w:keepLines w:val="0"/>
      </w:pPr>
      <w:r>
        <w:t>诊断依据：【实际症状体征及检查对应】</w:t>
      </w:r>
    </w:p>
    <w:p>
      <w:pPr>
        <w:pStyle w:val="MedicalCode"/>
        <w:keepLines w:val="0"/>
      </w:pPr>
      <w:r>
        <w:t>鉴别诊断：【围绕抽动症、面瘫后联带运动、局灶发作及其他疼痛病因的本例支持反对及缺项】</w:t>
      </w:r>
    </w:p>
    <w:p>
      <w:pPr>
        <w:pStyle w:val="MedicalCode"/>
        <w:keepLines w:val="0"/>
      </w:pPr>
      <w:r>
        <w:t>诊疗计划：【针对严重症状、替代效果和手术风险，慢性疼痛适应性需专科确认的实际评估、治疗和复查计划】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痉挛频率面听功能、疼痛与实际药物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痉挛频率面听功能、疼痛与实际药物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面神经根出区与血管，疼痛病例按实际根丛网络定位的本例证据】及【面瘫听损感染、持续症状和复发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严重症状、替代效果和手术风险，慢性疼痛适应性需专科确认的个体获益风险】和【症状功能与药物、必要再次评估，不保证短期即永久疗效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简要病情与术前诊断：【支持程度和面神经根出区与血管，疼痛病例按实际根丛网络定位对应事实】</w:t>
      </w:r>
    </w:p>
    <w:p>
      <w:pPr>
        <w:pStyle w:val="MedicalCode"/>
        <w:keepLines w:val="0"/>
      </w:pPr>
      <w:r>
        <w:t>适应性与目标：【本例严重症状、替代效果和手术风险，慢性疼痛适应性需专科确认评估结论】</w:t>
      </w:r>
    </w:p>
    <w:p>
      <w:pPr>
        <w:pStyle w:val="MedicalCode"/>
        <w:keepLines w:val="0"/>
      </w:pPr>
      <w:r>
        <w:t>拟行方案：【医师已决定术式及麻醉】</w:t>
      </w:r>
    </w:p>
    <w:p>
      <w:pPr>
        <w:pStyle w:val="MedicalCode"/>
        <w:keepLines w:val="0"/>
      </w:pPr>
      <w:r>
        <w:t>风险与准备：【面听神经、角膜、CSF漏及术效不确定相关个体风险、实际准备与缺项】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痉挛频率面听功能、疼痛与实际药物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面瘫听损感染、持续症状和复发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入院情况：【实际症状、面神经根出区与血管，疼痛病例按实际根丛网络定位相关查体及检查】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出院安排：【症状功能与药物、必要再次评估，不保证短期即永久疗效对应实际决定】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本病随访：【针对症状功能与药物、必要再次评估，不保证短期即永久疗效的实际时间科室项目】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长期随访：症状功能与药物、必要再次评估，不保证短期即永久疗效。每次记录实际随访日期、方式、来源、功能及检查，失访不能当无复发。</w:t>
      </w:r>
    </w:p>
    <w:p>
      <w:r>
        <w:t>31 最终质控：核本病解剖和责任病灶、真实神经查体、痉挛和疼痛频度功能影响用真实工具，不能由监测单值判效果的变量来源；检查面听神经、角膜、CSF漏及术效不确定相关实际状态，禁止将风险写为已发生并发症。术前未手术不套术后模板，10终审。</w:t>
      </w:r>
    </w:p>
    <w:p>
      <w:r>
        <w:t>32 参考指南及版本：[F05] 三叉神经痛治疗指南 2026版，2026，中国医师协会周围神经专业委员会颅神经专业学组；[V02] Cerebrovascular Statements and Guidelines，官网目录 核验2026，AANS CNS Cerebrovascular Section。核验日期2026年10月26日；适用范围与全文访问限制见本文件参考指南说明。</w:t>
      </w:r>
    </w:p>
    <w:p>
      <w:pPr>
        <w:pStyle w:val="Heading2"/>
      </w:pPr>
      <w:bookmarkStart w:id="403" w:name="sec_303"/>
      <w:r>
        <w:t>神经调控装置与硬件问题</w:t>
      </w:r>
      <w:bookmarkEnd w:id="403"/>
    </w:p>
    <w:p>
      <w:r>
        <w:t>01 疾病定义：已植入DBS VNS RNS SCS等系统的在位、开机程控或并发问题。</w:t>
      </w:r>
    </w:p>
    <w:p>
      <w:r>
        <w:t>02 病因及发病机制：导线电池连接、感染移位和参数副作用等，系统差异必须保留。</w:t>
      </w:r>
    </w:p>
    <w:p>
      <w:r>
        <w:t>03 临床表现：症状失控、刺激不适、局部红肿露线或设备报警。</w:t>
      </w:r>
    </w:p>
    <w:p>
      <w:r>
        <w:t>04 病史采集重点：真实型号序列部件、植入手术、最后程控与MRI相关信息。</w:t>
      </w:r>
    </w:p>
    <w:p>
      <w:r>
        <w:t>05 神经系统专科检查：原病功能、切口导线路径感染和神经局灶。</w:t>
      </w:r>
    </w:p>
    <w:p>
      <w:r>
        <w:t>06 神经定位诊断：实际电极靶点侧别发生器位置；不同装置不可混。</w:t>
      </w:r>
    </w:p>
    <w:p>
      <w:r>
        <w:t>07 定性诊断：核植入清单与设备查询，患者转述参数需待核。影像、临床、术中和病理确定度分别表述。。</w:t>
      </w:r>
    </w:p>
    <w:p>
      <w:r>
        <w:t>08 实验室检查：感染病原与常规，不能从红肿单独定颅内感染。</w:t>
      </w:r>
    </w:p>
    <w:p>
      <w:r>
        <w:t>09 影像检查：真实电极位置或导线连续性影像按适用。</w:t>
      </w:r>
    </w:p>
    <w:p>
      <w:r>
        <w:t>10 诊断标准：核植入清单与设备查询，患者转述参数需待核。只采用已核验且适用本例的标准，未满足必要项保留待定。。</w:t>
      </w:r>
    </w:p>
    <w:p>
      <w:r>
        <w:t>11 诊断依据：逐项对应本例真实型号序列部件、植入手术、最后程控与MRI相关信息、原病功能、切口导线路径感染和神经局灶与真实电极位置或导线连续性影像按适用的实际资料；推理不能替代缺失检查。。</w:t>
      </w:r>
    </w:p>
    <w:p>
      <w:r>
        <w:t>12 鉴别诊断：药物波动、原病进展、刺激副作用或硬件故障。</w:t>
      </w:r>
    </w:p>
    <w:p>
      <w:r>
        <w:t>13 分型分级与危险程度：感染深浅、故障和功能影响分层，未查询不推阻抗值。</w:t>
      </w:r>
    </w:p>
    <w:p>
      <w:r>
        <w:t>14 保守治疗原则：专业程控与药物康复，系统不遥控设备或给患者自行调参。</w:t>
      </w:r>
    </w:p>
    <w:p>
      <w:r>
        <w:t>15 手术适应性评估：明确故障感染或耗竭风险与保留更换取出策略。</w:t>
      </w:r>
    </w:p>
    <w:p>
      <w:r>
        <w:t>16 常见术式：实际电池更换部件修复或取出，连接与开机为独立事件。实际方式以术者记录为准。。</w:t>
      </w:r>
    </w:p>
    <w:p>
      <w:r>
        <w:t>17 术前风险：感染扩散、原症状反跳和新植入损伤。</w:t>
      </w:r>
    </w:p>
    <w:p>
      <w:r>
        <w:t>18 术后监测：开机状态、实际参数单位接触点来源、切口与功能反应。</w:t>
      </w:r>
    </w:p>
    <w:p>
      <w:r>
        <w:t>19 并发症：感染断裂移位、电池耗竭和刺激相关副作用。</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真实型号序列部件、植入手术、最后程控与MRI相关信息的真实内容】；查体【原病功能、切口导线路径感染和神经局灶的实查与时间】；检查【真实电极位置或导线连续性影像按适用的实际结果】。</w:t>
      </w:r>
    </w:p>
    <w:p>
      <w:pPr>
        <w:pStyle w:val="MedicalCode"/>
        <w:keepLines w:val="0"/>
      </w:pPr>
      <w:r>
        <w:t>初步诊断：【本例支持的神经调控装置与硬件问题或待查诊断与程度】</w:t>
      </w:r>
    </w:p>
    <w:p>
      <w:pPr>
        <w:pStyle w:val="MedicalCode"/>
        <w:keepLines w:val="0"/>
      </w:pPr>
      <w:r>
        <w:t>诊断依据：【实际症状体征及检查对应】</w:t>
      </w:r>
    </w:p>
    <w:p>
      <w:pPr>
        <w:pStyle w:val="MedicalCode"/>
        <w:keepLines w:val="0"/>
      </w:pPr>
      <w:r>
        <w:t>鉴别诊断：【围绕药物波动、原病进展、刺激副作用或硬件故障的本例支持反对及缺项】</w:t>
      </w:r>
    </w:p>
    <w:p>
      <w:pPr>
        <w:pStyle w:val="MedicalCode"/>
        <w:keepLines w:val="0"/>
      </w:pPr>
      <w:r>
        <w:t>诊疗计划：【针对明确故障感染或耗竭风险与保留更换取出策略的实际评估、治疗和复查计划】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开机状态、实际参数单位接触点来源、切口与功能反应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开机状态、实际参数单位接触点来源、切口与功能反应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实际电极靶点侧别发生器位置；不同装置不可混的本例证据】及【感染断裂移位、电池耗竭和刺激相关副作用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明确故障感染或耗竭风险与保留更换取出策略的个体获益风险】和【设备卡、MRI兼容按厂家及院内、逐次程控和电量责任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简要病情与术前诊断：【支持程度和实际电极靶点侧别发生器位置；不同装置不可混对应事实】</w:t>
      </w:r>
    </w:p>
    <w:p>
      <w:pPr>
        <w:pStyle w:val="MedicalCode"/>
        <w:keepLines w:val="0"/>
      </w:pPr>
      <w:r>
        <w:t>适应性与目标：【本例明确故障感染或耗竭风险与保留更换取出策略评估结论】</w:t>
      </w:r>
    </w:p>
    <w:p>
      <w:pPr>
        <w:pStyle w:val="MedicalCode"/>
        <w:keepLines w:val="0"/>
      </w:pPr>
      <w:r>
        <w:t>拟行方案：【医师已决定术式及麻醉】</w:t>
      </w:r>
    </w:p>
    <w:p>
      <w:pPr>
        <w:pStyle w:val="MedicalCode"/>
        <w:keepLines w:val="0"/>
      </w:pPr>
      <w:r>
        <w:t>风险与准备：【感染扩散、原症状反跳和新植入损伤相关个体风险、实际准备与缺项】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开机状态、实际参数单位接触点来源、切口与功能反应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感染断裂移位、电池耗竭和刺激相关副作用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入院情况：【实际症状、实际电极靶点侧别发生器位置；不同装置不可混相关查体及检查】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出院安排：【设备卡、MRI兼容按厂家及院内、逐次程控和电量责任对应实际决定】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本病随访：【针对设备卡、MRI兼容按厂家及院内、逐次程控和电量责任的实际时间科室项目】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长期随访：设备卡、MRI兼容按厂家及院内、逐次程控和电量责任。每次记录实际随访日期、方式、来源、功能及检查，失访不能当无复发。</w:t>
      </w:r>
    </w:p>
    <w:p>
      <w:r>
        <w:t>31 最终质控：核本病解剖和责任病灶、真实神经查体、感染深浅、故障和功能影响分层，未查询不推阻抗值的变量来源；检查感染扩散、原症状反跳和新植入损伤相关实际状态，禁止将风险写为已发生并发症。术前未手术不套术后模板，10终审。</w:t>
      </w:r>
    </w:p>
    <w:p>
      <w:r>
        <w:t>32 参考指南及版本：[F02] CNS Guideline STN and GPi Deep Brain Stimulation for Parkinson Disease，2018，Congress of Neurological Surgeons；[H03] Clinical Practice Guidelines for Healthcare Associated Ventriculitis and Meningitis，2017，IDSA。核验日期2026年10月26日；适用范围与全文访问限制见本文件参考指南说明。</w:t>
      </w:r>
    </w:p>
    <w:p>
      <w:pPr>
        <w:pStyle w:val="Heading1"/>
      </w:pPr>
      <w:bookmarkStart w:id="456" w:name="sec_356"/>
      <w:r>
        <w:t>本模块专项规则与模拟临床病例</w:t>
      </w:r>
      <w:bookmarkEnd w:id="456"/>
    </w:p>
    <w:p>
      <w:pPr>
        <w:pStyle w:val="Heading2"/>
      </w:pPr>
      <w:bookmarkStart w:id="457" w:name="sec_357"/>
      <w:r>
        <w:t>虚构DBS病例</w:t>
      </w:r>
      <w:bookmarkEnd w:id="457"/>
    </w:p>
    <w:p>
      <w:r>
        <w:t>SIM-DBS-01：双侧电极和胸部发生器已实际置入，记录“暂未开机”，型号与参数未提供。术后正文写植入完成但尚未开机，不写症状已因刺激改善、不补130Hz或3V。</w:t>
      </w:r>
    </w:p>
    <w:p>
      <w:pPr>
        <w:pStyle w:val="Heading2"/>
      </w:pPr>
      <w:bookmarkStart w:id="459" w:name="sec_359"/>
      <w:r>
        <w:t>虚构微血管减压病例</w:t>
      </w:r>
      <w:bookmarkEnd w:id="459"/>
    </w:p>
    <w:p>
      <w:r>
        <w:t>SIM-MVD-01：右侧三叉神经痛MVD后疼痛减轻，术者没有写责任血管名称。可记录真实减轻，不补小脑上动脉压迫和垫棉型号，也不能自动停用原抗痛药。</w:t>
      </w:r>
    </w:p>
    <w:p>
      <w:pPr>
        <w:pStyle w:val="Heading1"/>
      </w:pPr>
      <w:bookmarkStart w:id="461" w:name="sec_361"/>
      <w:r>
        <w:t>事实边界与常见错误</w:t>
      </w:r>
      <w:bookmarkEnd w:id="461"/>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464" w:name="sec_364"/>
      <w:r>
        <w:t>模块联动与最终质控</w:t>
      </w:r>
      <w:bookmarkEnd w:id="464"/>
    </w:p>
    <w:p>
      <w:r>
        <w:t>由00进入，01约束，11绑定患者及住院事件后调用107；需要的通用或专病模块只按当前任务加载。输出前交10核对身份、解剖侧别、证据程度、手术与装置事件、时序、用药执行及代码框；严重冲突阻断净稿，紧急评估提示不受阻断。</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[F01] Timing of Referral to Evaluate for Epilepsy Surgery Expert Consensus。发布机构：ILAE Surgical Therapies Commission；年份/版本：2022；核验日期：2026年10月26日。适用范围：药物难治癫痫外科评估转诊，不等于所有患者应手术。核验层级：官网全文或原始指南页面已核验。来源：https://pmc.ncbi.nlm.nih.gov/articles/PMC9562030/</w:t>
      </w:r>
    </w:p>
    <w:p>
      <w:r>
        <w:t>[F03] Definition of Drug Resistant Epilepsy Consensus Proposal。发布机构：ILAE Commission on Therapeutic Strategies；年份/版本：2009在线/2010卷期；核验日期：2026年10月26日。适用范围：药物难治定义与足量合适可耐受方案失败，不以简单药物计数代替。核验层级：官网全文或原始指南页面已核验。来源：https://www.ilae.org/guidelines/guidelines-and-reports/definition-of-drug-resistant-epilepsy</w:t>
      </w:r>
    </w:p>
    <w:p>
      <w:r>
        <w:t>[F02] CNS Guideline STN and GPi Deep Brain Stimulation for Parkinson Disease。发布机构：Congress of Neurological Surgeons；年份/版本：2018；核验日期：2026年10月26日。适用范围：帕金森病DBS靶点选择，非程控剂量表。核验层级：官网全文或原始指南页面已核验。来源：https://www.cns.org/Assets/04390da3-0a94-4dab-b91f-e2455dfd7ebc/636947410505700000/deep-brain-stimulation-parkinsons-disease-pdf</w:t>
      </w:r>
    </w:p>
    <w:p>
      <w:r>
        <w:t>[F04] European Academy of Neurology Guideline on Trigeminal Neuralgia。发布机构：EAN；年份/版本：2019；核验日期：2026年10月26日。适用范围：三叉神经痛分类、MRI与药物外科选择；不是面肌痉挛专门指南。核验层级：原始指南题录与学会原文入口核验。来源：https://onlinelibrary.wiley.com/doi/full/10.1111/ene.13950</w:t>
      </w:r>
    </w:p>
    <w:p>
      <w:r>
        <w:t>[F05] 三叉神经痛治疗指南 2026版。发布机构：中国医师协会周围神经专业委员会颅神经专业学组；年份/版本：2026；核验日期：2026年10月26日。适用范围：三叉神经痛诊治及外科选择；DOI 10.3760/cma.j.cn112050-20250902-00325。核验层级：原期刊摘要及题录核验；具体推荐需核全文。来源：https://rs.yiigle.com/cmaid/1665148</w:t>
      </w:r>
    </w:p>
    <w:p>
      <w:r>
        <w:t>[V02] Cerebrovascular Statements and Guidelines。发布机构：AANS CNS Cerebrovascular Section；年份/版本：官网目录 核验2026；核验日期：2026年10月26日。适用范围：脑血管病指南更新入口，含2024 AVM共识；病种全文未核时不提供数值推荐。核验层级：官方目录核验。来源：https://cvsection.org/education/statements-and-guidelines/</w:t>
      </w:r>
    </w:p>
    <w:p>
      <w:r>
        <w:t>[H03] Clinical Practice Guidelines for Healthcare Associated Ventriculitis and Meningitis。发布机构：IDSA；年份/版本：2017；核验日期：2026年10月26日。适用范围：医源性脑室炎脑膜炎与装置感染；非社区获得性感染通用替代方案。核验层级：官网全文或原始指南页面已核验。来源：https://www.idsociety.org/practice-guideline/healthcare-associated-ventriculitis-and-meningitis/</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107  |  </w:t>
    </w:r>
    <w:fldSimple w:instr="PAGE">
      <w:r>
        <w:t>1</w:t>
      </w:r>
    </w:fldSimple>
    <w:r>
      <w:t xml:space="preserve"> / </w:t>
    </w:r>
    <w:fldSimple w:instr="NUMPAGES">
      <w:r>
        <w:t>33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功能神经外科癫痫外科及神经调控专病模板库</dc:title>
  <dc:subject>神经外科医学文书规则库</dc:subject>
  <dc:creator>神经外科病历模板库</dc:creator>
  <cp:keywords>107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