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11 神经外科AI自动调用路由与病例状态管理规则库</w:t>
      </w:r>
    </w:p>
    <w:p>
      <w:r>
        <w:t>模块编号 11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自动选择模块并维护病例事件状态</w:t>
      </w:r>
    </w:p>
    <w:p>
      <w:r>
        <w:t>适用范围 多患者多住院及多手术连续文书</w:t>
      </w:r>
    </w:p>
    <w:p>
      <w:r>
        <w:t>自动调用条件 每次导入资料、切换患者、生成文书及接收新结果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病例状态模型与双维状态</w:t>
        </w:r>
      </w:hyperlink>
      <w:r>
        <w:tab/>
      </w:r>
      <w:fldSimple w:instr="PAGEREF sec_0 \h">
        <w:r>
          <w:t>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">
        <w:r>
          <w:t>基本身份</w:t>
        </w:r>
      </w:hyperlink>
      <w:r>
        <w:tab/>
      </w:r>
      <w:fldSimple w:instr="PAGEREF sec_2 \h">
        <w:r>
          <w:t>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">
        <w:r>
          <w:t>神经功能</w:t>
        </w:r>
      </w:hyperlink>
      <w:r>
        <w:tab/>
      </w:r>
      <w:fldSimple w:instr="PAGEREF sec_5 \h">
        <w:r>
          <w:t>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">
        <w:r>
          <w:t>病灶与影像</w:t>
        </w:r>
      </w:hyperlink>
      <w:r>
        <w:tab/>
      </w:r>
      <w:fldSimple w:instr="PAGEREF sec_8 \h">
        <w:r>
          <w:t>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">
        <w:r>
          <w:t>手术事件</w:t>
        </w:r>
      </w:hyperlink>
      <w:r>
        <w:tab/>
      </w:r>
      <w:fldSimple w:instr="PAGEREF sec_11 \h">
        <w:r>
          <w:t>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">
        <w:r>
          <w:t>装置</w:t>
        </w:r>
      </w:hyperlink>
      <w:r>
        <w:tab/>
      </w:r>
      <w:fldSimple w:instr="PAGEREF sec_14 \h">
        <w:r>
          <w:t>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7">
        <w:r>
          <w:t>治疗</w:t>
        </w:r>
      </w:hyperlink>
      <w:r>
        <w:tab/>
      </w:r>
      <w:fldSimple w:instr="PAGEREF sec_17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">
        <w:r>
          <w:t>并发症</w:t>
        </w:r>
      </w:hyperlink>
      <w:r>
        <w:tab/>
      </w:r>
      <w:fldSimple w:instr="PAGEREF sec_20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3">
        <w:r>
          <w:t>病理</w:t>
        </w:r>
      </w:hyperlink>
      <w:r>
        <w:tab/>
      </w:r>
      <w:fldSimple w:instr="PAGEREF sec_2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6">
        <w:r>
          <w:t>出院康复</w:t>
        </w:r>
      </w:hyperlink>
      <w:r>
        <w:tab/>
      </w:r>
      <w:fldSimple w:instr="PAGEREF sec_26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9">
        <w:r>
          <w:t>事件溯源和手术后天数算法</w:t>
        </w:r>
      </w:hyperlink>
      <w:r>
        <w:tab/>
      </w:r>
      <w:fldSimple w:instr="PAGEREF sec_29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32">
        <w:r>
          <w:t>自动路由判定程序</w:t>
        </w:r>
      </w:hyperlink>
      <w:r>
        <w:tab/>
      </w:r>
      <w:fldSimple w:instr="PAGEREF sec_32 \h">
        <w:r>
          <w:t>5</w:t>
        </w:r>
      </w:fldSimple>
    </w:p>
    <w:p>
      <w:pPr>
        <w:tabs>
          <w:tab w:pos="8787" w:val="right" w:leader="dot"/>
        </w:tabs>
        <w:spacing w:after="60"/>
      </w:pPr>
      <w:hyperlink w:anchor="sec_44">
        <w:r>
          <w:t>状态转换守卫</w:t>
        </w:r>
      </w:hyperlink>
      <w:r>
        <w:tab/>
      </w:r>
      <w:fldSimple w:instr="PAGEREF sec_44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47">
        <w:r>
          <w:t>冲突解决与最少补问</w:t>
        </w:r>
      </w:hyperlink>
      <w:r>
        <w:tab/>
      </w:r>
      <w:fldSimple w:instr="PAGEREF sec_47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49">
        <w:r>
          <w:t>正式医学文书代码框输出规范</w:t>
        </w:r>
      </w:hyperlink>
      <w:r>
        <w:tab/>
      </w:r>
      <w:fldSimple w:instr="PAGEREF sec_49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51">
        <w:r>
          <w:t>病例状态摘要模板</w:t>
        </w:r>
      </w:hyperlink>
      <w:r>
        <w:tab/>
      </w:r>
      <w:fldSimple w:instr="PAGEREF sec_51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53">
        <w:r>
          <w:t>虚构状态更新测试</w:t>
        </w:r>
      </w:hyperlink>
      <w:r>
        <w:tab/>
      </w:r>
      <w:fldSimple w:instr="PAGEREF sec_53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55">
        <w:r>
          <w:t>事实边界与常见错误</w:t>
        </w:r>
      </w:hyperlink>
      <w:r>
        <w:tab/>
      </w:r>
      <w:fldSimple w:instr="PAGEREF sec_55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58">
        <w:r>
          <w:t>模块联动与最终质控</w:t>
        </w:r>
      </w:hyperlink>
      <w:r>
        <w:tab/>
      </w:r>
      <w:fldSimple w:instr="PAGEREF sec_58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60">
        <w:r>
          <w:t>可直接填充的内部状态交接模板</w:t>
        </w:r>
      </w:hyperlink>
      <w:r>
        <w:tab/>
      </w:r>
      <w:fldSimple w:instr="PAGEREF sec_60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8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病例状态模型与双维状态</w:t>
      </w:r>
      <w:bookmarkEnd w:id="100"/>
    </w:p>
    <w:p>
      <w:r>
        <w:t>根键为patient_id/encounter_id；病灶、检查、手术、标本、装置、药物和诊断版本各用独立ID。事实核验状态fact_status分为已确认、待核实、冲突、未提供；实施状态execution_status分为未实施、计划、已开立、已实施、暂停、停用、取消。两维不能混作一个状态，例如“已确认计划、未实施”。所有状态有source_id、event_at、documented_at、available_at和修改理由。</w:t>
      </w:r>
    </w:p>
    <w:p>
      <w:pPr>
        <w:pStyle w:val="Heading2"/>
      </w:pPr>
      <w:bookmarkStart w:id="102" w:name="sec_2"/>
      <w:r>
        <w:t>基本身份</w:t>
      </w:r>
      <w:bookmarkEnd w:id="102"/>
    </w:p>
    <w:p>
      <w:r>
        <w:t>字段：patient_id、encounter_id、住院次数、姓名校验值、出生日期或实足年龄、入院日期、记录时点、资料来源。</w:t>
      </w:r>
    </w:p>
    <w:p>
      <w:r>
        <w:t>更新约束：患者切换创建新命名空间；跨次住院只继承有来源的稳定背景。</w:t>
      </w:r>
    </w:p>
    <w:p>
      <w:pPr>
        <w:pStyle w:val="Heading2"/>
      </w:pPr>
      <w:bookmarkStart w:id="105" w:name="sec_5"/>
      <w:r>
        <w:t>神经功能</w:t>
      </w:r>
      <w:bookmarkEnd w:id="105"/>
    </w:p>
    <w:p>
      <w:r>
        <w:t>字段：assessed_at、来源、意识、E/V/M、NT原因、瞳孔左右毫米值及反射、分肌群运动、感觉、颅神经、语言、括约肌、镇静插管影响。</w:t>
      </w:r>
    </w:p>
    <w:p>
      <w:r>
        <w:t>更新约束：动态事实按时间序列保存；禁用last-known自动填充当日查体。</w:t>
      </w:r>
    </w:p>
    <w:p>
      <w:pPr>
        <w:pStyle w:val="Heading2"/>
      </w:pPr>
      <w:bookmarkStart w:id="108" w:name="sec_8"/>
      <w:r>
        <w:t>病灶与影像</w:t>
      </w:r>
      <w:bookmarkEnd w:id="108"/>
    </w:p>
    <w:p>
      <w:r>
        <w:t>字段：lesion_id、检查号、检查时间与available_at、部位侧别、血肿体积及算法、水肿、中线移位测量、脑室和基底池、肿瘤尺寸序列、脊髓受压。</w:t>
      </w:r>
    </w:p>
    <w:p>
      <w:r>
        <w:t>更新约束：报告原文和临床解释分存；同一模态同层面可比性有记录才谈变化。</w:t>
      </w:r>
    </w:p>
    <w:p>
      <w:pPr>
        <w:pStyle w:val="Heading2"/>
      </w:pPr>
      <w:bookmarkStart w:id="111" w:name="sec_11"/>
      <w:r>
        <w:t>手术事件</w:t>
      </w:r>
      <w:bookmarkEnd w:id="111"/>
    </w:p>
    <w:p>
      <w:r>
        <w:t>字段：operation_id、状态、拟行名称、开始结束及登记日期、actual_name、入路侧别范围、骨瓣状态、术中所见、标本、装置、出血来源。</w:t>
      </w:r>
    </w:p>
    <w:p>
      <w:r>
        <w:t>更新约束：多次手术列表追加；只在实际完成后建立POD锚点；延期取消无POD。</w:t>
      </w:r>
    </w:p>
    <w:p>
      <w:pPr>
        <w:pStyle w:val="Heading2"/>
      </w:pPr>
      <w:bookmarkStart w:id="114" w:name="sec_14"/>
      <w:r>
        <w:t>装置</w:t>
      </w:r>
      <w:bookmarkEnd w:id="114"/>
    </w:p>
    <w:p>
      <w:r>
        <w:t>字段：device_id、type、side、location、inserted_at、state、setting及单位来源、开放夹闭、引流时段量性质、adjusted_at、removed_at、并发症。</w:t>
      </w:r>
    </w:p>
    <w:p>
      <w:r>
        <w:t>更新约束：未记拔除继续为在位或状态待核；不是默认已拔除。</w:t>
      </w:r>
    </w:p>
    <w:p>
      <w:pPr>
        <w:pStyle w:val="Heading2"/>
      </w:pPr>
      <w:bookmarkStart w:id="117" w:name="sec_17"/>
      <w:r>
        <w:t>治疗</w:t>
      </w:r>
      <w:bookmarkEnd w:id="117"/>
    </w:p>
    <w:p>
      <w:r>
        <w:t>字段：medication_id、名称规格剂量途径频次、indication、proposed/ordered/administered/held/stopped、起止时刻、执行来源、呼吸支持。</w:t>
      </w:r>
    </w:p>
    <w:p>
      <w:r>
        <w:t>更新约束：处方和执行分别记录；暂停后恢复须新事件；不能从停药医嘱推断所有时段执行。</w:t>
      </w:r>
    </w:p>
    <w:p>
      <w:pPr>
        <w:pStyle w:val="Heading2"/>
      </w:pPr>
      <w:bookmarkStart w:id="120" w:name="sec_20"/>
      <w:r>
        <w:t>并发症</w:t>
      </w:r>
      <w:bookmarkEnd w:id="120"/>
    </w:p>
    <w:p>
      <w:r>
        <w:t>字段：发现时刻、征象、疑似/可能/确诊、证据、鉴别、实际处理、反应、后续计划。</w:t>
      </w:r>
    </w:p>
    <w:p>
      <w:r>
        <w:t>更新约束：发热、引流浑浊和意识差均不能单项确诊感染脑疝。</w:t>
      </w:r>
    </w:p>
    <w:p>
      <w:pPr>
        <w:pStyle w:val="Heading2"/>
      </w:pPr>
      <w:bookmarkStart w:id="123" w:name="sec_23"/>
      <w:r>
        <w:t>病理</w:t>
      </w:r>
      <w:bookmarkEnd w:id="123"/>
    </w:p>
    <w:p>
      <w:r>
        <w:t>字段：specimen_id、患者与operation_id、标本部位、取材时刻、冰冻/石蜡/IHC/分子/整合、报告号、available_at、原文、诊断版本。</w:t>
      </w:r>
    </w:p>
    <w:p>
      <w:r>
        <w:t>更新约束：不得将同患者其他病灶的分子结果套用本标本。</w:t>
      </w:r>
    </w:p>
    <w:p>
      <w:pPr>
        <w:pStyle w:val="Heading2"/>
      </w:pPr>
      <w:bookmarkStart w:id="126" w:name="sec_26"/>
      <w:r>
        <w:t>出院康复</w:t>
      </w:r>
      <w:bookmarkEnd w:id="126"/>
    </w:p>
    <w:p>
      <w:r>
        <w:t>字段：功能量表及时间变量、吞咽沟通活动照护能力、去向、出院用药核对、装置交接、待回结果责任与预约。</w:t>
      </w:r>
    </w:p>
    <w:p>
      <w:r>
        <w:t>更新约束：出院不等于神经功能正常；随访计划不等于已经完成。</w:t>
      </w:r>
    </w:p>
    <w:p>
      <w:pPr>
        <w:pStyle w:val="Heading1"/>
      </w:pPr>
      <w:bookmarkStart w:id="129" w:name="sec_29"/>
      <w:r>
        <w:t>事件溯源和手术后天数算法</w:t>
      </w:r>
      <w:bookmarkEnd w:id="129"/>
    </w:p>
    <w:p>
      <w:r>
        <w:t>使用Asia/Shanghai日历日期。本院已确认的实际手术登记日作为POD0，当前记录日期减该日期为POD；术后当日称POD0，不称第1日。跨午夜或本院口径不清，先核登记日，必要时写距术毕实际小时而不猜天数。每次手术独立计算；再次开颅后可同时写“首次手术后第X日、再次手术后第Y日”，各有operation_id。</w:t>
      </w:r>
    </w:p>
    <w:p>
      <w:r>
        <w:t>示例SIM-TIME：OP-A登记2026-10-24，OP-B登记2026-10-26，2026-10-27分别POD3和POD1；OP-C拟于10-28而未实施，无POD。10-27回报的病理available_at不能进入10-26病程。补记时区分实际事件发生时间与补记时间并注明补记，不能回填成当时已知。</w:t>
      </w:r>
    </w:p>
    <w:p>
      <w:pPr>
        <w:pStyle w:val="Heading1"/>
      </w:pPr>
      <w:bookmarkStart w:id="132" w:name="sec_32"/>
      <w:r>
        <w:t>自动路由判定程序</w:t>
      </w:r>
      <w:bookmarkEnd w:id="132"/>
    </w:p>
    <w:p>
      <w:r>
        <w:t>输入task_type、current_encounter、record_at、disease、lesions、stage、doctor_level、device_changes和red_flags。固定01+11+02；有定位评分需03，有检查解释需04，有手术阶段需05，异常或重症需06，治疗决策用药需07，查房需08，康复装置出院需09；病因选择101—107，儿童或先天及复杂年龄问题加108。10始终最后。原文报告仅整理时可不加载02正文结构，只保持01、11、04、10。</w:t>
      </w:r>
    </w:p>
    <w:p>
      <w:r>
        <w:t>急性硬膜下血肿首次病程 → 01 11 02 03 04 101 10；创伤时刻、E/V/M和瞳孔原始值、CT侧别与占位效应。</w:t>
      </w:r>
    </w:p>
    <w:p>
      <w:r>
        <w:t>开颅血肿清除术后第1日主任查房 → 01 11 02 05 08 101 10；actual_operation_id、骨瓣状态、当次神经查体；影像分析任务另加04。</w:t>
      </w:r>
    </w:p>
    <w:p>
      <w:r>
        <w:t>动脉瘤夹闭术后病程 → 01 11 02 04 05 102 10；责任瘤、实际术式及术后影像；不用介入记录代填夹闭。</w:t>
      </w:r>
    </w:p>
    <w:p>
      <w:r>
        <w:t>胶质瘤术后正式病理主任查房 → 01 11 02 04 08 103 10；标本部位、报告可获知时间、分子缺项和整合诊断版本。</w:t>
      </w:r>
    </w:p>
    <w:p>
      <w:r>
        <w:t>垂体术后多尿血钠变化 → 01 11 02 04 06 104 10；时段尿量、出入量、血尿渗透压、血钠及激素；实际用药分析加07。</w:t>
      </w:r>
    </w:p>
    <w:p>
      <w:r>
        <w:t>颈椎椎管内肿瘤术后主治查房 → 01 11 02 03 05 08 105 10；节段、髓内外关系、分肌群运动和感觉括约肌基线。</w:t>
      </w:r>
    </w:p>
    <w:p>
      <w:r>
        <w:t>VP分流系统术后异常 → 01 11 02 06 09 106 10；系统类型、位置、既往设置与实际调整；VP内分流不能套EVD外引流高度。</w:t>
      </w:r>
    </w:p>
    <w:p>
      <w:r>
        <w:t>DBS术后病程 → 01 11 02 05 07 107 10；实际靶点与植入清单、开机状态及药物；程控任务加09。</w:t>
      </w:r>
    </w:p>
    <w:p>
      <w:r>
        <w:t>儿童脑积水首次病程 → 01 11 02 03 106 108 10；实足/矫正年龄、发育基线、头围趋势和脑室证据。</w:t>
      </w:r>
    </w:p>
    <w:p>
      <w:r>
        <w:t>出现多个病种不全量加载所有文件。例如儿童脑积水106+108；肿瘤并脑积水103+106；垂体术后多尿104并06/04；AVM伴急性血肿102主模块，除非明确创伤不加101。症状关键词不能独立定病因。</w:t>
      </w:r>
    </w:p>
    <w:p>
      <w:pPr>
        <w:pStyle w:val="Heading1"/>
      </w:pPr>
      <w:bookmarkStart w:id="144" w:name="sec_44"/>
      <w:r>
        <w:t>状态转换守卫</w:t>
      </w:r>
      <w:bookmarkEnd w:id="144"/>
    </w:p>
    <w:p>
      <w:r>
        <w:t>拟行→完成必须有真实完成记录；如只有“已从手术室返回”可确认已接受相关手术但实际名称待核，不能补入路范围。device在位→拔除必须有实际操作事件，医嘱“拟拔”不转换。药物ordered→administered必须有执行来源。冰冻→正式病理作为新增报告，保留旧版本；正式→整合须有病理科正式整合或医师明确整合依据。</w:t>
      </w:r>
    </w:p>
    <w:p>
      <w:r>
        <w:t>患者切换先清空当前工作视图、查体、影像、操作和正文缓存，载入新键；不删除其他患者归档。再次住院建立新encounter_id。双侧病灶分别对照，装置置入和手术可以对应不同侧，不能因同侧预期自动统一。</w:t>
      </w:r>
    </w:p>
    <w:p>
      <w:pPr>
        <w:pStyle w:val="Heading1"/>
      </w:pPr>
      <w:bookmarkStart w:id="147" w:name="sec_47"/>
      <w:r>
        <w:t>冲突解决与最少补问</w:t>
      </w:r>
      <w:bookmarkEnd w:id="147"/>
    </w:p>
    <w:p>
      <w:r>
        <w:t>先隔离冲突资料，列出原始来源和冲突字段，向医师核对对生成文书有决定作用的少量信息。图像OCR不清保留未核；用户纠正保留旧值与新来源。身份不清整体阻断；单个标本不清阻断该病理结论；关键术式不清阻断手术净稿。紧急征象仍先现场处置提示。</w:t>
      </w:r>
    </w:p>
    <w:p>
      <w:pPr>
        <w:pStyle w:val="Heading1"/>
      </w:pPr>
      <w:bookmarkStart w:id="149" w:name="sec_49"/>
      <w:r>
        <w:t>正式医学文书代码框输出规范</w:t>
      </w:r>
      <w:bookmarkEnd w:id="149"/>
    </w:p>
    <w:p>
      <w:r>
        <w:t>所有正式医学文书正文使用Markdown text代码框。日期、时间及文书标题置于代码框外；某某主治医师查房记录、某某副主任医师查房记录和某某主任医师查房记录均为框外标题。框内只放实际医学正文，不重复题头日期时间或标题，不添加AI说明、医学文书正文标签。日常病程、术后动态病程和三级医师查房为连续完整的一整段，无空行或多余空格，不因单段要求删减必要内容。入院记录、首次病程、术前小结、手术记录、抢救记录和出院记录可保留必要栏目。正式输出不得留占位符、未选择的有无选项或默认正常查体。缺失或冲突事项单列于框外；关键冲突未解决，阻断可能误用的无标记净稿。禁止“结合昨天的查体情况”“根据前一天的病程”“根据用户上传的图片”“AI判断”。临床事件的发生时间、检查采样时间和实际手术时间属于正文事实，按需要保留；禁止的是重复题头时间，不能因此删去抢救时间轴。</w:t>
      </w:r>
    </w:p>
    <w:p>
      <w:pPr>
        <w:pStyle w:val="Heading1"/>
      </w:pPr>
      <w:bookmarkStart w:id="151" w:name="sec_51"/>
      <w:r>
        <w:t>病例状态摘要模板</w:t>
      </w:r>
      <w:bookmarkEnd w:id="151"/>
    </w:p>
    <w:p>
      <w:r>
        <w:t>病例状态摘要供助手内部或框外核对，不能混入正式病程。摘要必须包含患者和住院键、记录时点、证据确定度、最近各项神经查体时间、最近可用影像、每次实际手术及POD、每个装置状态、当前药物执行、并发症证据、待回病理和待核冲突。</w:t>
      </w:r>
    </w:p>
    <w:p>
      <w:pPr>
        <w:pStyle w:val="Heading1"/>
      </w:pPr>
      <w:bookmarkStart w:id="153" w:name="sec_53"/>
      <w:r>
        <w:t>虚构状态更新测试</w:t>
      </w:r>
      <w:bookmarkEnd w:id="153"/>
    </w:p>
    <w:p>
      <w:r>
        <w:t>SIM-DRAIN-01：10-24右EVD置入；10-25医嘱拟夹闭，实际仍开放；10-26 08:00实际夹闭；10-26 16:00拟拔；10-27 09:00实际拔除。10-26 10:00正确为在位夹闭，不能写已拔。只给“引流量20ml”缺时段不能计算小时流量。</w:t>
      </w:r>
    </w:p>
    <w:p>
      <w:pPr>
        <w:pStyle w:val="Heading1"/>
      </w:pPr>
      <w:bookmarkStart w:id="155" w:name="sec_55"/>
      <w:r>
        <w:t>事实边界与常见错误</w:t>
      </w:r>
      <w:bookmarkEnd w:id="155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158" w:name="sec_58"/>
      <w:r>
        <w:t>模块联动与最终质控</w:t>
      </w:r>
      <w:bookmarkEnd w:id="158"/>
    </w:p>
    <w:p>
      <w:r>
        <w:t>由00进入，01约束，11绑定患者及住院事件后调用11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160" w:name="sec_60"/>
      <w:r>
        <w:t>可直接填充的内部状态交接模板</w:t>
      </w:r>
      <w:bookmarkEnd w:id="160"/>
    </w:p>
    <w:p>
      <w:r>
        <w:t>内部状态交接不属于正式病历正文。患者键：【真实patient_id】；本次住院：【真实encounter_id及住院次数】；记录时点：【Asia/Shanghai日期时间】；诊断及确定度：【来源】；最近神经评估：【各分项时点、来源、限制】；病灶与影像：【lesion_id与可用检查】；手术列表：【每个operation_id实际状态、登记日和POD】；装置列表：【device_id类型位置侧别、设置来源、开放夹闭及拔除事件】；治疗：【医嘱和执行、暂停停用】；并发症：【证据层级】；病理：【specimen_id、阶段、available_at和待回项】；待核冲突：【字段及需核来源】；下一任务：【文书类型和最小模块】。</w:t>
      </w:r>
    </w:p>
    <w:p>
      <w:r>
        <w:t>更新守卫：每项已发生事实均验证event_at≤record_at且available_at≤record_at；任何晚于题头的既成事实阻断对应净稿。明确拟行的未来计划单列，不转换为实际事件。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[G01] Glasgow Coma Scale Assessment Aid and FAQ。发布机构：Institute of Neurological Sciences Glasgow GCS官方项目；年份/版本：2017评估表/官网FAQ；核验日期：2026年10月26日。适用范围：E V M分项和NT限制；语言无法评估不强制赋1分。核验层级：官网全文或原始指南页面已核验。来源：https://www.glasgowcomascale.org/faq/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[SP01] International Standards for Neurological Classification of SCI Ninth Edition。发布机构：ASIA ISCoS；年份/版本：2026；核验日期：2026年10月26日。适用范围：脊髓损伤神经分级；保存所用工作表版本，旧表记录不自动重算。核验层级：官网2026工作表与第9版出版信息已核验；细则按正式表及原文。来源：https://asia-spinalinjury.org/isncsci-resources/</w:t>
      </w:r>
    </w:p>
    <w:p>
      <w:r>
        <w:t>[R04] 关于进一步加强医疗机构电子病历信息使用管理的通知及政策解读。发布机构：国家卫生健康委员会；年份/版本：2025；核验日期：2026年10月26日。适用范围：患者信息使用及机构管理；不将本地文书库视为获准的病历数据平台。核验层级：官方解读已核验。来源：https://www.nhc.gov.cn/yzygj/c100067/202506/767ec00daef542dd9515c9871fe7b52f.shtml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11  |  </w:t>
    </w:r>
    <w:fldSimple w:instr="PAGE">
      <w:r>
        <w:t>1</w:t>
      </w:r>
    </w:fldSimple>
    <w:r>
      <w:t xml:space="preserve"> / </w:t>
    </w:r>
    <w:fldSimple w:instr="NUMPAGES">
      <w:r>
        <w:t>9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神经外科AI自动调用路由与病例状态管理规则库</dc:title>
  <dc:subject>神经外科医学文书规则库</dc:subject>
  <dc:creator>神经外科病历模板库</dc:creator>
  <cp:keywords>11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