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03 呼吸系统专科查体症状评估与呼吸功能检查模板库</w:t>
      </w:r>
    </w:p>
    <w:p>
      <w:r>
        <w:t>文件编号 03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症状、实查、量表和呼吸功能评估</w:t>
      </w:r>
    </w:p>
    <w:p>
      <w:r>
        <w:t>适用任务 出现症状、查体、评分或功能检查问题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评估次序与定位规则</w:t>
      </w:r>
    </w:p>
    <w:p>
      <w:r>
        <w:t>13类症状采集模板</w:t>
      </w:r>
    </w:p>
    <w:p>
      <w:r>
        <w:t>18项呼吸专科实查模板</w:t>
      </w:r>
    </w:p>
    <w:p>
      <w:r>
        <w:t>量表通用门槛</w:t>
      </w:r>
    </w:p>
    <w:p>
      <w:r>
        <w:t>呼吸功能检查衔接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功能定位：症状、实查、量表和呼吸功能评估。</w:t>
      </w:r>
    </w:p>
    <w:p>
      <w:pPr>
        <w:widowControl/>
      </w:pPr>
      <w:r>
        <w:t>调用条件：出现症状、查体、评分或功能检查问题。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评估次序与定位规则</w:t>
      </w:r>
    </w:p>
    <w:p>
      <w:pPr>
        <w:widowControl/>
      </w:pPr>
      <w:r>
        <w:t>先看意识、呼吸功、循环和支持，再询问症状并实查。左右侧、肺叶肺段、体表听诊肺区分开记录；影像右中叶病灶不能自动推定右中肺湿啰音。不能默认“双肺呼吸音清晰”“未闻及干湿啰音”。咯血与严重气促触发06。</w:t>
      </w:r>
    </w:p>
    <w:p>
      <w:pPr>
        <w:pStyle w:val="Heading1"/>
      </w:pPr>
      <w:r>
        <w:t>13类症状采集模板</w:t>
      </w:r>
    </w:p>
    <w:p>
      <w:pPr>
        <w:widowControl/>
      </w:pPr>
      <w:r>
        <w:t>- 咳嗽：起始与持续、干咳或伴痰、昼夜体位诱因、频度及较基线变化。填写为“咳嗽【实述及时间】”。</w:t>
      </w:r>
    </w:p>
    <w:p>
      <w:pPr>
        <w:widowControl/>
      </w:pPr>
      <w:r>
        <w:t>- 咳痰：量、颜色、黏稠、气味、是否易咳出，24小时量与估计方式。填写为“咳痰【实述及时间】”。</w:t>
      </w:r>
    </w:p>
    <w:p>
      <w:pPr>
        <w:widowControl/>
      </w:pPr>
      <w:r>
        <w:t>- 痰液量及性状：实际量有单位时间窗，患者估量与护理实测分开。填写为“痰液量及性状【实述及时间】”。</w:t>
      </w:r>
    </w:p>
    <w:p>
      <w:pPr>
        <w:widowControl/>
      </w:pPr>
      <w:r>
        <w:t>- 咯血：血丝、鲜血或血块，频次、估量、是否堵塞气道及循环变化，鉴别呕血鼻咽出血。填写为“咯血【实述及时间】”。</w:t>
      </w:r>
    </w:p>
    <w:p>
      <w:pPr>
        <w:widowControl/>
      </w:pPr>
      <w:r>
        <w:t>- 喘息：发作性、诱因、夜间、既往客观气流可变证据和药物反应。填写为“喘息【实述及时间】”。</w:t>
      </w:r>
    </w:p>
    <w:p>
      <w:pPr>
        <w:widowControl/>
      </w:pPr>
      <w:r>
        <w:t>- 胸闷：与活动、喘息、心悸及胸痛的关系，不能自动等同支气管痉挛。填写为“胸闷【实述及时间】”。</w:t>
      </w:r>
    </w:p>
    <w:p>
      <w:pPr>
        <w:widowControl/>
      </w:pPr>
      <w:r>
        <w:t>- 呼吸困难：起病速度、静息或活动、能否完整说话、原基线、活动阈值与支持条件。填写为“呼吸困难【实述及时间】”。</w:t>
      </w:r>
    </w:p>
    <w:p>
      <w:pPr>
        <w:widowControl/>
      </w:pPr>
      <w:r>
        <w:t>- 胸痛：侧别、部位、性质、持续及与呼吸咳嗽关系，排气胸肺栓塞冠脉问题。填写为“胸痛【实述及时间】”。</w:t>
      </w:r>
    </w:p>
    <w:p>
      <w:pPr>
        <w:widowControl/>
      </w:pPr>
      <w:r>
        <w:t>- 发热：体温实测与自述区分、峰值时点、寒战出汗和退热治疗。填写为“发热【实述及时间】”。</w:t>
      </w:r>
    </w:p>
    <w:p>
      <w:pPr>
        <w:widowControl/>
      </w:pPr>
      <w:r>
        <w:t>- 夜间症状：夜间咳喘、觉醒、鼾声、窒息感及实际用药。填写为“夜间症状【实述及时间】”。</w:t>
      </w:r>
    </w:p>
    <w:p>
      <w:pPr>
        <w:widowControl/>
      </w:pPr>
      <w:r>
        <w:t>- 活动耐量下降：原可完成与现能完成活动，是否伴低氧胸痛或晕厥。填写为“活动耐量下降【实述及时间】”。</w:t>
      </w:r>
    </w:p>
    <w:p>
      <w:pPr>
        <w:widowControl/>
      </w:pPr>
      <w:r>
        <w:t>- 端坐呼吸及夜间阵发性呼吸困难：时间、体位及循环证据，鉴别心衰、气道和睡眠低通气。填写为“端坐呼吸及夜间阵发性呼吸困难【实述及时间】”。</w:t>
      </w:r>
    </w:p>
    <w:p>
      <w:pPr>
        <w:widowControl/>
      </w:pPr>
      <w:r>
        <w:t>- 呼吸道症状动态变化：比较相同时间窗与基线，先陈述量化事实再判断好转恶化。填写为“呼吸道症状动态变化【实述及时间】”。</w:t>
      </w:r>
    </w:p>
    <w:p>
      <w:pPr>
        <w:pStyle w:val="Heading1"/>
      </w:pPr>
      <w:r>
        <w:t>18项呼吸专科实查模板</w:t>
      </w:r>
    </w:p>
    <w:p>
      <w:pPr>
        <w:widowControl/>
      </w:pPr>
      <w:r>
        <w:t>- 呼吸频率：实测次/min及时间，不由呼吸机设定频率代替。</w:t>
      </w:r>
    </w:p>
    <w:p>
      <w:pPr>
        <w:widowControl/>
      </w:pPr>
      <w:r>
        <w:t>- 呼吸节律：规则性、周期变化及异常所处状态。</w:t>
      </w:r>
    </w:p>
    <w:p>
      <w:pPr>
        <w:widowControl/>
      </w:pPr>
      <w:r>
        <w:t>- 呼吸深度：浅快或深大须实查，不能仅由血气推定。</w:t>
      </w:r>
    </w:p>
    <w:p>
      <w:pPr>
        <w:widowControl/>
      </w:pPr>
      <w:r>
        <w:t>- 呼吸辅助肌使用：颈部肋间参与、三凹征、腹式反常的实际观察。</w:t>
      </w:r>
    </w:p>
    <w:p>
      <w:pPr>
        <w:widowControl/>
      </w:pPr>
      <w:r>
        <w:t>- 胸廓形态：桶状胸、畸形或手术后改变须实查。</w:t>
      </w:r>
    </w:p>
    <w:p>
      <w:pPr>
        <w:widowControl/>
      </w:pPr>
      <w:r>
        <w:t>- 胸廓运动：左右对称度、局部受限及呼吸幅度。</w:t>
      </w:r>
    </w:p>
    <w:p>
      <w:pPr>
        <w:widowControl/>
      </w:pPr>
      <w:r>
        <w:t>- 气管位置：居中或偏向与实际检查方法。</w:t>
      </w:r>
    </w:p>
    <w:p>
      <w:pPr>
        <w:widowControl/>
      </w:pPr>
      <w:r>
        <w:t>- 语音震颤：侧别和具体体表区域，不自动推定肺实变。</w:t>
      </w:r>
    </w:p>
    <w:p>
      <w:pPr>
        <w:widowControl/>
      </w:pPr>
      <w:r>
        <w:t>- 胸部叩诊：左右肺区与清音浊音过清音实际结果。</w:t>
      </w:r>
    </w:p>
    <w:p>
      <w:pPr>
        <w:widowControl/>
      </w:pPr>
      <w:r>
        <w:t>- 双肺呼吸音：左右、上中下肺区及减弱或支气管呼吸音的真实定位。</w:t>
      </w:r>
    </w:p>
    <w:p>
      <w:pPr>
        <w:widowControl/>
      </w:pPr>
      <w:r>
        <w:t>- 干啰音：部位、时相、音调及动态改变。</w:t>
      </w:r>
    </w:p>
    <w:p>
      <w:pPr>
        <w:widowControl/>
      </w:pPr>
      <w:r>
        <w:t>- 湿啰音：部位、粗细、吸气时相及咳嗽后变化。</w:t>
      </w:r>
    </w:p>
    <w:p>
      <w:pPr>
        <w:widowControl/>
      </w:pPr>
      <w:r>
        <w:t>- 胸膜摩擦音：部位及与呼吸的关系，鉴别心包摩擦。</w:t>
      </w:r>
    </w:p>
    <w:p>
      <w:pPr>
        <w:widowControl/>
      </w:pPr>
      <w:r>
        <w:t>- 哮鸣音：分布、呼气或双相、与中央气道局限性病变鉴别。</w:t>
      </w:r>
    </w:p>
    <w:p>
      <w:pPr>
        <w:widowControl/>
      </w:pPr>
      <w:r>
        <w:t>- 杵状指：实际查体，慢阻肺本身不能解释全部杵状指。</w:t>
      </w:r>
    </w:p>
    <w:p>
      <w:pPr>
        <w:widowControl/>
      </w:pPr>
      <w:r>
        <w:t>- 紫绀：中心或周围及灌注；不能据此填SpO2数值。</w:t>
      </w:r>
    </w:p>
    <w:p>
      <w:pPr>
        <w:widowControl/>
      </w:pPr>
      <w:r>
        <w:t>- 外周水肿：侧别程度与右心、左心、肾病等证据。</w:t>
      </w:r>
    </w:p>
    <w:p>
      <w:pPr>
        <w:widowControl/>
      </w:pPr>
      <w:r>
        <w:t>- 呼吸衰竭相关临床体征：意识、疲劳、反常呼吸、灌注及即时支持；查体不替代血气分型。</w:t>
      </w:r>
    </w:p>
    <w:p>
      <w:pPr>
        <w:widowControl/>
      </w:pPr>
      <w:r>
        <w:t>【文书日期时间】 呼吸专科评估记录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实际症状、活动阈值及较基线变化】。查体【当次呼吸频率节律深度、辅助肌、胸廓运动、气管、语颤叩诊、左右肺区呼吸音及附加音】，相关全身体征【实查】。SpO2【实测、时间及氧疗条件】。依据【真实资料】评估【呼吸困难及风险】，对【危急信号】已进行【真实处理】，后续【确认计划】。</w:t>
      </w:r>
    </w:p>
    <w:p>
      <w:pPr>
        <w:pStyle w:val="Template"/>
      </w:pPr>
      <w:r>
        <w:t>```</w:t>
      </w:r>
    </w:p>
    <w:p>
      <w:pPr>
        <w:pStyle w:val="Heading1"/>
      </w:pPr>
      <w:r>
        <w:t>量表通用门槛</w:t>
      </w:r>
    </w:p>
    <w:p>
      <w:pPr>
        <w:widowControl/>
      </w:pPr>
      <w:r>
        <w:t>记录量表全名及版本、适用对象、评估时间窗、各项原值、单位和来源，随后计算与解释。变量不足只能写“资料不足，暂不评分”，列缺项，不能按0。已有医师确认总分可忠实引用，但注明来源而不伪称本系统重新计算。病情恶化优先临床评估，不等待评分。</w:t>
      </w:r>
    </w:p>
    <w:p>
      <w:pPr>
        <w:pStyle w:val="Heading2"/>
      </w:pPr>
      <w:r>
        <w:t>mMRC</w:t>
      </w:r>
    </w:p>
    <w:p>
      <w:pPr>
        <w:widowControl/>
      </w:pPr>
      <w:r>
        <w:t>应用前提与时间：稳定期慢阻肺或慢性呼吸困难；按患者实际活动限制选0至4级。</w:t>
      </w:r>
    </w:p>
    <w:p>
      <w:pPr>
        <w:widowControl/>
      </w:pPr>
      <w:r>
        <w:t>变量及解释：0仅剧烈活动气促；1快走或缓坡气促；2平地慢于同龄或需停步；3平地约百米或数分钟停步；4气促致难出门或穿衣气促。确认与原表版本一致并区分急性期状态。</w:t>
      </w:r>
    </w:p>
    <w:p>
      <w:pPr>
        <w:widowControl/>
      </w:pPr>
      <w:r>
        <w:t>质控：不能由氧流量、FEV1或住院状态猜分。</w:t>
      </w:r>
    </w:p>
    <w:p>
      <w:pPr>
        <w:pStyle w:val="Heading2"/>
      </w:pPr>
      <w:r>
        <w:t>CAT或CAAT</w:t>
      </w:r>
    </w:p>
    <w:p>
      <w:pPr>
        <w:widowControl/>
      </w:pPr>
      <w:r>
        <w:t>应用前提与时间：使用实际有效问卷，通常回顾当前影响；记录名称版本和实施时点。</w:t>
      </w:r>
    </w:p>
    <w:p>
      <w:pPr>
        <w:widowControl/>
      </w:pPr>
      <w:r>
        <w:t>变量及解释：8个领域为咳嗽、痰、胸闷、坡楼气促、家务活动、离家信心、睡眠、精力；每项0至5，共0至40。此处为字段提示，不复制受版权保护的题干和作答选项；实施须采用有效原表。</w:t>
      </w:r>
    </w:p>
    <w:p>
      <w:pPr>
        <w:widowControl/>
      </w:pPr>
      <w:r>
        <w:t>质控：缺任何项不自动合计；与mMRC不作数值换算。</w:t>
      </w:r>
    </w:p>
    <w:p>
      <w:pPr>
        <w:pStyle w:val="Heading2"/>
      </w:pPr>
      <w:r>
        <w:t>ACT</w:t>
      </w:r>
    </w:p>
    <w:p>
      <w:pPr>
        <w:widowControl/>
      </w:pPr>
      <w:r>
        <w:t>应用前提与时间：适用年龄和语言版本须匹配；成人通常回顾近4周。</w:t>
      </w:r>
    </w:p>
    <w:p>
      <w:pPr>
        <w:widowControl/>
      </w:pPr>
      <w:r>
        <w:t>变量及解释：5项覆盖活动影响、气短频率、夜醒、急救药和自评控制；各1至5，共5至25。通常20至25控制较好、16至19未良好控制、5至15控制很差，结合原版本解释。</w:t>
      </w:r>
    </w:p>
    <w:p>
      <w:pPr>
        <w:widowControl/>
      </w:pPr>
      <w:r>
        <w:t>质控：不能把急性发作日替代4周回答；儿童另用相应量表。</w:t>
      </w:r>
    </w:p>
    <w:p>
      <w:pPr>
        <w:pStyle w:val="Heading2"/>
      </w:pPr>
      <w:r>
        <w:t>GINA症状控制</w:t>
      </w:r>
    </w:p>
    <w:p>
      <w:pPr>
        <w:widowControl/>
      </w:pPr>
      <w:r>
        <w:t>应用前提与时间：成人青少年过去4周，另行评估未来风险。</w:t>
      </w:r>
    </w:p>
    <w:p>
      <w:pPr>
        <w:widowControl/>
      </w:pPr>
      <w:r>
        <w:t>变量及解释：核对日间症状是否超过每周2次、夜间觉醒、活动受限、SABA缓解药是否超过每周2次；按适用缓解方案解释，AIR使用不能机械套SABA问题。0项良好，1至2部分控制，3至4未控制。未来风险含既往重发作、肺功能、依从性等，另列。</w:t>
      </w:r>
    </w:p>
    <w:p>
      <w:pPr>
        <w:widowControl/>
      </w:pPr>
      <w:r>
        <w:t>质控：控制水平不等于哮喘严重度；生物制剂不能仅凭嗜酸细胞决定。</w:t>
      </w:r>
    </w:p>
    <w:p>
      <w:pPr>
        <w:pStyle w:val="Heading2"/>
      </w:pPr>
      <w:r>
        <w:t>CURB65</w:t>
      </w:r>
    </w:p>
    <w:p>
      <w:pPr>
        <w:widowControl/>
      </w:pPr>
      <w:r>
        <w:t>应用前提与时间：成人CAP初始严重度，不能替代临床判断。</w:t>
      </w:r>
    </w:p>
    <w:p>
      <w:pPr>
        <w:widowControl/>
      </w:pPr>
      <w:r>
        <w:t>变量及解释：意识新发异常、尿素&gt;7 mmol/L、呼吸频率≥30/min、收缩压&lt;90或舒张压≤60 mmHg、年龄≥65岁，各1分共0至5。0至1通常较低、2中等、≥3较高风险；是否住院及ICU仍结合低氧并病等。</w:t>
      </w:r>
    </w:p>
    <w:p>
      <w:pPr>
        <w:widowControl/>
      </w:pPr>
      <w:r>
        <w:t>质控：BUN与尿素单位先换算；缺尿素不能输出CURB65总分，可另说明适用CRB65条件。</w:t>
      </w:r>
    </w:p>
    <w:p>
      <w:pPr>
        <w:pStyle w:val="Heading2"/>
      </w:pPr>
      <w:r>
        <w:t>PSI PORT</w:t>
      </w:r>
    </w:p>
    <w:p>
      <w:pPr>
        <w:widowControl/>
      </w:pPr>
      <w:r>
        <w:t>应用前提与时间：成人CAP；原始模型分两步，先筛低风险后完整变量计算。</w:t>
      </w:r>
    </w:p>
    <w:p>
      <w:pPr>
        <w:widowControl/>
      </w:pPr>
      <w:r>
        <w:t>变量及解释：完整变量：年龄、性别、养老机构居住；肿瘤、肝病、心衰、脑血管病、肾病；意识、RR、收缩压、体温、心率；pH、BUN、血钠、血糖、血细胞比容、PaO2或适用SpO2和胸水。人口分为男性年龄、女性年龄减10，养老机构加10；肿瘤30、肝病20、心衰脑血管肾病各10；意识20、RR≥30加20、收缩压&lt;90加20、体温&lt;35或≥40加15、心率≥125加10；pH&lt;7.35加30、BUN≥30mg/dL加20、Na&lt;130加20、葡萄糖≥250mg/dL加10、Hct&lt;30%加10、PaO2&lt;60mmHg或原模型适用低饱和加10、胸水加10。先按原模型识别I类，其余≤70为II、71至90为III、91至130为IV、&gt;130为V。</w:t>
      </w:r>
    </w:p>
    <w:p>
      <w:pPr>
        <w:widowControl/>
      </w:pPr>
      <w:r>
        <w:t>质控：所有原始字段和两步判定必须完整，不用简化PSI冒充原模型。</w:t>
      </w:r>
    </w:p>
    <w:p>
      <w:pPr>
        <w:pStyle w:val="Heading2"/>
      </w:pPr>
      <w:r>
        <w:t>Wells肺栓塞临床概率</w:t>
      </w:r>
    </w:p>
    <w:p>
      <w:pPr>
        <w:widowControl/>
      </w:pPr>
      <w:r>
        <w:t>应用前提与时间：疑似急性肺栓塞，使用二分或三分原版本。</w:t>
      </w:r>
    </w:p>
    <w:p>
      <w:pPr>
        <w:widowControl/>
      </w:pPr>
      <w:r>
        <w:t>变量及解释：DVT临床体征3；PE较其他诊断更可能3；心率&gt;100加1.5；近期手术或卧床按原定义1.5；既往VTE1.5；咯血1；活动性肿瘤1。二分≤4为PE不太可能、&gt;4为PE可能；三分阈值须标明所选体系，禁止混用。</w:t>
      </w:r>
    </w:p>
    <w:p>
      <w:pPr>
        <w:widowControl/>
      </w:pPr>
      <w:r>
        <w:t>质控：“PE更可能”必须医师判断，临床概率不等于确诊或预后分层。</w:t>
      </w:r>
    </w:p>
    <w:p>
      <w:pPr>
        <w:pStyle w:val="Heading2"/>
      </w:pPr>
      <w:r>
        <w:t>sPESI</w:t>
      </w:r>
    </w:p>
    <w:p>
      <w:pPr>
        <w:widowControl/>
      </w:pPr>
      <w:r>
        <w:t>应用前提与时间：急性肺栓塞确诊后预后评估，非排除工具。</w:t>
      </w:r>
    </w:p>
    <w:p>
      <w:pPr>
        <w:widowControl/>
      </w:pPr>
      <w:r>
        <w:t>变量及解释：年龄&gt;80、肿瘤、慢性心肺病、心率≥110/min、收缩压&lt;100mmHg、氧饱和度&lt;90%，每项1；0与≥1区分，但右心证据与社会条件另评。</w:t>
      </w:r>
    </w:p>
    <w:p>
      <w:pPr>
        <w:widowControl/>
      </w:pPr>
      <w:r>
        <w:t>质控：未提供并病不能当0，不能用sPESI确定ESC全部分层。</w:t>
      </w:r>
    </w:p>
    <w:p>
      <w:pPr>
        <w:pStyle w:val="Heading2"/>
      </w:pPr>
      <w:r>
        <w:t>重症CAP标准</w:t>
      </w:r>
    </w:p>
    <w:p>
      <w:pPr>
        <w:widowControl/>
      </w:pPr>
      <w:r>
        <w:t>应用前提与时间：成人CAP，区分ATS IDSA标准与本院采用体系。</w:t>
      </w:r>
    </w:p>
    <w:p>
      <w:pPr>
        <w:widowControl/>
      </w:pPr>
      <w:r>
        <w:t>变量及解释：主要标准：需有创机械通气或感染性休克需血管活性药。次要变量为RR≥30、P/F≤250、累及多肺叶、意识异常、尿毒症BUN≥20mg/dL、WBC&lt;4×10^9/L、血小板&lt;100×10^9/L、体温&lt;36℃、需积极液体复苏的低血压；1主要或≥3次要支持重症。先核对适用前提与每项是否实测。</w:t>
      </w:r>
    </w:p>
    <w:p>
      <w:pPr>
        <w:widowControl/>
      </w:pPr>
      <w:r>
        <w:t>质控：缺FiO2时不判P/F项为真；有单独已证实主要标准可成立，不必等待全部次要项。</w:t>
      </w:r>
    </w:p>
    <w:p>
      <w:pPr>
        <w:pStyle w:val="Heading2"/>
      </w:pPr>
      <w:r>
        <w:t>其他量表</w:t>
      </w:r>
    </w:p>
    <w:p>
      <w:pPr>
        <w:widowControl/>
      </w:pPr>
      <w:r>
        <w:t>应用前提与时间：按病种调用且标版本。</w:t>
      </w:r>
    </w:p>
    <w:p>
      <w:pPr>
        <w:widowControl/>
      </w:pPr>
      <w:r>
        <w:t>变量及解释：SOFA需6器官原始变量与基线；qSOFA为提示风险而非脓毒症确诊。BSI FACED需支扩原变量；6分钟步行需距离、SpO2、支持、症状和停止原因；STOPBang ESS为筛查或症状量表，不能确诊OSA。</w:t>
      </w:r>
    </w:p>
    <w:p>
      <w:pPr>
        <w:widowControl/>
      </w:pPr>
      <w:r>
        <w:t>质控：量表未内置完整算法时查有效原表，不凭记忆凑分。</w:t>
      </w:r>
    </w:p>
    <w:p>
      <w:pPr>
        <w:pStyle w:val="Heading1"/>
      </w:pPr>
      <w:r>
        <w:t>呼吸功能检查衔接</w:t>
      </w:r>
    </w:p>
    <w:p>
      <w:pPr>
        <w:widowControl/>
      </w:pPr>
      <w:r>
        <w:t>肺通气、容积、DLCO、舒张或激发试验先核对质量、停药及禁忌记录，再由04解释。急性不稳定患者不为补全肺功能而延误处置。活动试验记录所用氧疗条件，不能把吸氧下距离与空气下距离直接比较疗效。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虚构R004/E04，66岁CAP，RR32/min，BP110/70mmHg，无新发意识异常，尿素未提供。可识别已知年龄和RR风险，但CURB65不能给完整分数；请求尿素。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常见错误：主诉“气喘”即ACT低分、听诊未给即双肺清、将静脉血氧纳入PSI动脉项。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联动：04功能及血气；06急变；101 102 103 106 108相应专病。最终统一调用10；任一严重错误未解决，不发布受影响净稿。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R04 Global Strategy for Prevention Diagnosis and Management of COPD 2026 Report。GOLD，2026；2025-11-10初发更新说明；官网报告文件标记2025-12-08 v1.3。2026正式报告；非中国2026修订指南。来源：https://goldcopd.org/2026-gold-report-and-pocket-guide/。核验 2026-10-26；官方报告入口及更新摘要已核验；大PDF网页读取受限。</w:t>
      </w:r>
    </w:p>
    <w:p>
      <w:pPr>
        <w:pStyle w:val="Source"/>
        <w:widowControl/>
      </w:pPr>
      <w:r>
        <w:t>- R05 Global Strategy for Asthma Management and Prevention 2026 update。GINA，2026；2026-05；具体日未从报告封面核实。2026正式策略。来源：https://ginasthma.org/wp-content/uploads/2026/05/GINA-2026-Strategy-Report-WMS.pdf。核验 2026-10-26；官方PDF题名及索引已核验；17MB全文网页读取受限。</w:t>
      </w:r>
    </w:p>
    <w:p>
      <w:pPr>
        <w:pStyle w:val="Source"/>
        <w:widowControl/>
      </w:pPr>
      <w:r>
        <w:t>- R10 中国成人社区获得性肺炎诊断和治疗指南（2016年版）。中华医学会呼吸病学分会，2016；2016-04；具体日未核实。正式指南；基线参考，非声称最新所有CAP指南。来源：https://doi.org/10.3760/cma.j.issn.1001-0939.2016.04.005。核验 2026-10-26；中华医学会出版平台全文。</w:t>
      </w:r>
    </w:p>
    <w:p>
      <w:pPr>
        <w:pStyle w:val="Source"/>
        <w:widowControl/>
      </w:pPr>
      <w:r>
        <w:t>- R20 2019 ESC Guidelines for the diagnosis and management of acute pulmonary embolism developed in collaboration with ERS。ESC ERS，2019；2019-08-31在线；期刊卷年2020。正式ESC体系；另列AHA ACC 2026，不混合分层。来源：https://academic.oup.com/eurheartj/article/41/4/543/5556136。核验 2026-10-26；原指南。</w:t>
      </w:r>
    </w:p>
    <w:p>
      <w:pPr>
        <w:pStyle w:val="Source"/>
        <w:widowControl/>
      </w:pPr>
      <w:r>
        <w:t>- R29 ERS ATS technical standard on interpretive strategies for routine lung function tests。ERS ATS，2022发表；2022-07卷期；2021在线，具体日未核实。技术解释标准；不替代各病种诊断标准。来源：https://doi.org/10.1183/13993003.01499-2021。核验 2026-10-26；ERS原始标准。</w:t>
      </w:r>
    </w:p>
    <w:p>
      <w:pPr>
        <w:pStyle w:val="Source"/>
        <w:widowControl/>
      </w:pPr>
      <w:r>
        <w:t>- R30 Clinical Practice Guideline for Diagnostic Testing for Adult Obstructive Sleep Apnea。AASM，2017；2017-03-15。正式成人诊断指南；非全部睡眠评分最新版。来源：https://www.aasm.org/resources/clinicalguidelines/diagnostic-testing-osa.pdf。核验 2026-10-26；学会原指南。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03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呼吸系统专科查体症状评估与呼吸功能检查模板库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