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100"/>
      </w:pPr>
      <w:r>
        <w:t>呼吸内科AI病历书写系统</w:t>
      </w:r>
    </w:p>
    <w:p>
      <w:pPr>
        <w:pStyle w:val="Title"/>
      </w:pPr>
      <w:r>
        <w:t>04 呼吸内科检验血气肺功能影像病原学及病理分析模板库</w:t>
      </w:r>
    </w:p>
    <w:p>
      <w:r>
        <w:t>文件编号 04　版本 V1.0</w:t>
      </w:r>
    </w:p>
    <w:p>
      <w:r>
        <w:t>所属层级 第二级 通用功能层</w:t>
      </w:r>
    </w:p>
    <w:p>
      <w:r>
        <w:t>建设与核验日期 2026-10-26</w:t>
      </w:r>
    </w:p>
    <w:p>
      <w:r>
        <w:t>功能定位 双模式整理报告及分析血气肺功能等证据</w:t>
      </w:r>
    </w:p>
    <w:p>
      <w:r>
        <w:t>适用任务 出现报告、检验、血气、影像、病原或病理</w:t>
      </w:r>
    </w:p>
    <w:p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r>
        <w:t>使用方法：先读00与01，再由11按任务调用相关模块，10终审后形成正式文书。本文模板中的【字段】用于填充，虚构示例不属于真实患者资料。</w:t>
      </w:r>
    </w:p>
    <w:p>
      <w:r>
        <w:br w:type="page"/>
      </w:r>
    </w:p>
    <w:p>
      <w:pPr>
        <w:pStyle w:val="Heading1"/>
      </w:pPr>
      <w:r>
        <w:t>本模块目录</w:t>
      </w:r>
    </w:p>
    <w:p>
      <w:r>
        <w:t>功能定位与调用条件</w:t>
      </w:r>
    </w:p>
    <w:p>
      <w:r>
        <w:t>原始报告与临床分析双模式</w:t>
      </w:r>
    </w:p>
    <w:p>
      <w:r>
        <w:t>动脉血气核对与执行流程</w:t>
      </w:r>
    </w:p>
    <w:p>
      <w:r>
        <w:t>酸碱平衡分析方法</w:t>
      </w:r>
    </w:p>
    <w:p>
      <w:r>
        <w:t>代偿估算与混合紊乱</w:t>
      </w:r>
    </w:p>
    <w:p>
      <w:r>
        <w:t>氧合及呼吸衰竭</w:t>
      </w:r>
    </w:p>
    <w:p>
      <w:r>
        <w:t>ARDS体系分开</w:t>
      </w:r>
    </w:p>
    <w:p>
      <w:r>
        <w:t>肺功能质量和诊断顺序</w:t>
      </w:r>
    </w:p>
    <w:p>
      <w:r>
        <w:t>舒张及激发试验</w:t>
      </w:r>
    </w:p>
    <w:p>
      <w:r>
        <w:t>影像学按病灶追踪</w:t>
      </w:r>
    </w:p>
    <w:p>
      <w:r>
        <w:t>感染指标与病原归因</w:t>
      </w:r>
    </w:p>
    <w:p>
      <w:r>
        <w:t>肿瘤与病理证据</w:t>
      </w:r>
    </w:p>
    <w:p>
      <w:r>
        <w:t>胸水及其他关联分析</w:t>
      </w:r>
    </w:p>
    <w:p>
      <w:r>
        <w:t>典型虚构病例与执行结果</w:t>
      </w:r>
    </w:p>
    <w:p>
      <w:r>
        <w:t>医学真实性边界与常见错误</w:t>
      </w:r>
    </w:p>
    <w:p>
      <w:r>
        <w:t>质量控制及模块联动</w:t>
      </w:r>
    </w:p>
    <w:p>
      <w:r>
        <w:t>指南来源与版本维护</w:t>
      </w:r>
    </w:p>
    <w:p>
      <w:r>
        <w:t>版本更新说明</w:t>
      </w:r>
    </w:p>
    <w:p>
      <w:r>
        <w:br w:type="page"/>
      </w:r>
    </w:p>
    <w:p>
      <w:pPr>
        <w:widowControl/>
      </w:pPr>
      <w:r>
        <w:t>版本 V1.0　建设及核验日期 2026-10-26　所属层级 第二级 通用功能层</w:t>
      </w:r>
    </w:p>
    <w:p>
      <w:pPr>
        <w:widowControl/>
      </w:pPr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pPr>
        <w:pStyle w:val="Heading1"/>
      </w:pPr>
      <w:r>
        <w:t>功能定位与调用条件</w:t>
      </w:r>
    </w:p>
    <w:p>
      <w:pPr>
        <w:widowControl/>
      </w:pPr>
      <w:r>
        <w:t>功能定位：双模式整理报告及分析血气肺功能等证据。</w:t>
      </w:r>
    </w:p>
    <w:p>
      <w:pPr>
        <w:widowControl/>
      </w:pPr>
      <w:r>
        <w:t>调用条件：出现报告、检验、血气、影像、病原或病理。</w:t>
      </w:r>
    </w:p>
    <w:p>
      <w:pPr>
        <w:widowControl/>
      </w:pPr>
      <w:r>
        <w:t>最低输入：患者唯一标识、本次住院标识、入院日期、拟写文书类型及记录时点、当前可核对的病史和检查来源。涉及药物、设备、操作或医师意见，必须另给实际时点及状态；不要求为无关字段补造资料。</w:t>
      </w:r>
    </w:p>
    <w:p>
      <w:pPr>
        <w:pStyle w:val="Heading1"/>
      </w:pPr>
      <w:r>
        <w:t>原始报告与临床分析双模式</w:t>
      </w:r>
    </w:p>
    <w:p>
      <w:pPr>
        <w:widowControl/>
      </w:pPr>
      <w:r>
        <w:t>原始报告整理模式：检查时间、项目、数值单位、所见及意见忠实保留；用户要求原文则逐字保留，包括限定词、单位和原有错误，不在原文段内更正。疑似OCR、单位或归属问题在框外列核实。临床分析模式：原值与分析分开，说明趋势、可比条件、病理生理、病因和风险；不能反向修改报告原文。原图未经医师复阅不得冒充放射科正式报告。</w:t>
      </w:r>
    </w:p>
    <w:p>
      <w:pPr>
        <w:pStyle w:val="Heading1"/>
      </w:pPr>
      <w:r>
        <w:t>动脉血气核对与执行流程</w:t>
      </w:r>
    </w:p>
    <w:p>
      <w:pPr>
        <w:widowControl/>
      </w:pPr>
      <w:r>
        <w:t>先核对患者、采样时间、动脉或静脉、体温修正状态、单位、当时意识和循环；同时核对吸氧方式、流量、可靠FiO2来源、支持模式及设备参数。pH、PaO2、PaCO2、HCO3-、BE、乳酸、SaO2逐项提取，不根据一个指标补其他值。常用参考pH7.35至7.45、PaCO2 35至45mmHg，HCO3-约22至26mmol/L，以报告参考范围和临床条件为准。kPa转mmHg乘约7.5006；两种单位不能混算。</w:t>
      </w:r>
    </w:p>
    <w:p>
      <w:pPr>
        <w:pStyle w:val="Heading1"/>
      </w:pPr>
      <w:r>
        <w:t>酸碱平衡分析方法</w:t>
      </w:r>
    </w:p>
    <w:p>
      <w:pPr>
        <w:widowControl/>
      </w:pPr>
      <w:r>
        <w:t>先判酸血症或碱血症，再看PaCO2与HCO3-方向，识别主要过程和预期代偿，最后结合临床判急慢性或混合。pH正常不排除混合紊乱；血气仪计算HCO3-与生化总CO2不完全相同；BE及乳酸只能辅助，不独自确定病因。慢性肾病、利尿、呕吐、腹泻、营养、药物和通气改变均需核实。</w:t>
      </w:r>
    </w:p>
    <w:p>
      <w:pPr>
        <w:pStyle w:val="Heading1"/>
      </w:pPr>
      <w:r>
        <w:t>代偿估算与混合紊乱</w:t>
      </w:r>
    </w:p>
    <w:p>
      <w:pPr>
        <w:widowControl/>
      </w:pPr>
      <w:r>
        <w:t>- 代谢性酸中毒：预期PaCO2约为1.5乘HCO3-加8，允许上下2mmHg；实际更高考虑并存呼吸性酸中毒，更低考虑呼吸性碱中毒。</w:t>
      </w:r>
    </w:p>
    <w:p>
      <w:pPr>
        <w:widowControl/>
      </w:pPr>
      <w:r>
        <w:t>- 代谢性碱中毒：PaCO2代偿约为40加0.7乘HCO3-超过24的差值；范围及临床条件影响大，通常允许约上下5mmHg，不能用单一偏差机械确诊。</w:t>
      </w:r>
    </w:p>
    <w:p>
      <w:pPr>
        <w:widowControl/>
      </w:pPr>
      <w:r>
        <w:t>- 呼吸性酸中毒：PaCO2每高于40增加10mmHg，急性HCO3-约增1mmol/L，慢性约增3.5至4mmol/L；慢性须时间与病史支持。</w:t>
      </w:r>
    </w:p>
    <w:p>
      <w:pPr>
        <w:widowControl/>
      </w:pPr>
      <w:r>
        <w:t>- 呼吸性碱中毒：PaCO2每低于40减少10mmHg，急性HCO3-约降2mmol/L，慢性约降4至5mmol/L；不以正常pH直接判完全代偿。</w:t>
      </w:r>
    </w:p>
    <w:p>
      <w:pPr>
        <w:widowControl/>
      </w:pPr>
      <w:r>
        <w:t>- 阴离子间隙：以同次生化Na减Cl减HCO3-，明确是否不含K和本室参考；低白蛋白可用每低于4g/dL减少1g/dL加约2.5mmol/L校正。缺Cl或白蛋白不得编造校正值；需要时结合Delta关系及临床判混合。</w:t>
      </w:r>
    </w:p>
    <w:p>
      <w:pPr>
        <w:widowControl/>
      </w:pPr>
      <w:r>
        <w:t>以上为床旁估算的知识规则，必须保留“符合或超出预期范围”的不确定性，不自动指定通气参数或碳酸氢钠治疗。</w:t>
      </w:r>
    </w:p>
    <w:p>
      <w:pPr>
        <w:pStyle w:val="Heading1"/>
      </w:pPr>
      <w:r>
        <w:t>氧合及呼吸衰竭</w:t>
      </w:r>
    </w:p>
    <w:p>
      <w:pPr>
        <w:widowControl/>
      </w:pPr>
      <w:r>
        <w:t>PaO2反映氧合，PaCO2反映通气，SpO2不能换算PaO2；静脉PO2不能替代。常用海平面、静息、室内空气条件下PaO2&lt;60mmHg提示呼吸衰竭，Ⅰ型常PaCO2正常或降低，Ⅱ型同时PaCO2&gt;50mmHg；需排除样本、海拔和其他条件，急慢性结合病史。已经吸氧或通气时记录治疗下数值及临床判断，不能撤氧只为分型，也不能因治疗后PaO2正常否定既往有据呼衰。高碳酸血症本身不等于Ⅱ型呼衰的全部条件。</w:t>
      </w:r>
    </w:p>
    <w:p>
      <w:pPr>
        <w:widowControl/>
      </w:pPr>
      <w:r>
        <w:t>P/F为同次动脉PaO2以mmHg计除以FiO2的小数。只有FiO2可靠可确定且与采样同时、支持条件明确时计算，记录分子分母。室内空气通常可取0.21，仍考虑海拔等。低流量鼻导管不按固定公式认定精确FiO2；HFNC标称FiO2可记录为设备设定值，患者吸气需求与泄漏等造成差异须注明，不伪称实测肺泡值。</w:t>
      </w:r>
    </w:p>
    <w:p>
      <w:pPr>
        <w:pStyle w:val="Heading1"/>
      </w:pPr>
      <w:r>
        <w:t>ARDS体系分开</w:t>
      </w:r>
    </w:p>
    <w:p>
      <w:pPr>
        <w:widowControl/>
      </w:pPr>
      <w:r>
        <w:t>Berlin2012需急性时程、双侧阴影、不能被心衰或容量超负荷完全解释的呼衰和PEEP或CPAP≥5cmH2O下氧合条件。2024全球定义另将符合条件的HFNO等患者纳入，HFNO通常流量至少30L/min并结合对应氧合标准；两套定义不能拼凑。缺可靠FiO2、时间、影像或支持条件时仅写待评估，不仅凭P/F低值确诊ARDS。资源受限替代标准需另读原定义，不默认用于所有患者。</w:t>
      </w:r>
    </w:p>
    <w:p>
      <w:pPr>
        <w:widowControl/>
      </w:pPr>
      <w:r>
        <w:t>【文书日期时间】 血气分析记录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【采样时间】动脉血气，采样时【真实氧疗方式、流量、可确定FiO2及支持模式】，pH【原值】，PaO2【原值与单位】，PaCO2【原值与单位】，HCO3-【原值】，BE【原值】，乳酸【原值】。提示【氧合、通气及主要酸碱过程】，代偿【依据与范围】，混合紊乱【有据判断或待查】，与【可比既往结果及时点】比较【真实变化】。后续【医师确认的复评计划】。</w:t>
      </w:r>
    </w:p>
    <w:p>
      <w:pPr>
        <w:pStyle w:val="Template"/>
      </w:pPr>
      <w:r>
        <w:t>```</w:t>
      </w:r>
    </w:p>
    <w:p>
      <w:pPr>
        <w:pStyle w:val="Heading1"/>
      </w:pPr>
      <w:r>
        <w:t>肺功能质量和诊断顺序</w:t>
      </w:r>
    </w:p>
    <w:p>
      <w:pPr>
        <w:widowControl/>
      </w:pPr>
      <w:r>
        <w:t>核对检查日期、参考方程、质控等级、可接受性与重复性、年龄身高性别等基础变量、支气管舒张前后和停药状态。先判断FEV1/FVC是否低于LLN；病种如COPD按其指南需舒张后比值&lt;0.70及相应临床背景。固定比值与LLN目的不同，不混用。再看FEV1、FVC及预计值或z分数；不将FEF25至75单项降低直接确诊小气道疾病。</w:t>
      </w:r>
    </w:p>
    <w:p>
      <w:pPr>
        <w:widowControl/>
      </w:pPr>
      <w:r>
        <w:t>FVC降低但FEV1/FVC保留只能提示可能限制或非特异性模式，须TLC低于LLN确认限制；比值降低且TLC降低才支持混合性障碍。比值降低且FVC低可为气体潴留，需TLC与RV、RV/TLC鉴别。DLCO需核对质量、血红蛋白校正及参考，低值可能见于肺实质、肺血管、贫血等，不能独自确诊ILD。</w:t>
      </w:r>
    </w:p>
    <w:p>
      <w:pPr>
        <w:pStyle w:val="Heading1"/>
      </w:pPr>
      <w:r>
        <w:t>舒张及激发试验</w:t>
      </w:r>
    </w:p>
    <w:p>
      <w:pPr>
        <w:widowControl/>
      </w:pPr>
      <w:r>
        <w:t>逐项保留舒张前后FEV1、FVC、绝对变化、基线或预计值分母、药物及时间。ERS ATS解释标准以FEV1或FVC相对于预计值的增加&gt;10%评估显著反应；哮喘诊断采用GINA相应成人可变气流证据时，常用较基线增加≥12%且≥200mL等，必须明确所用体系，不能将分母混成同一个阈值。阳性不自动区分哮喘与COPD；阴性不完全排除哮喘。激发试验记录药物、剂量方案、PC20或PD20与终止标准，使用报告正式结论和适用参考，不凭症状推阳性。</w:t>
      </w:r>
    </w:p>
    <w:p>
      <w:pPr>
        <w:widowControl/>
      </w:pPr>
      <w:r>
        <w:t>【文书日期时间】 肺功能分析记录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【检查日期】肺功能，质控【真实等级或报告说明】，舒张前FEV1【值】，FVC【值】，FEV1/FVC【值】，舒张后【实际结果】，TLC及RV【已测结果】，DLCO【值及校正状态】。根据【明确标准与版本】提示【有据通气或弥散模式】，诊断【病种】尚需【具体证据】。与【既往日期及可比条件】相比【真实变化】。</w:t>
      </w:r>
    </w:p>
    <w:p>
      <w:pPr>
        <w:pStyle w:val="Template"/>
      </w:pPr>
      <w:r>
        <w:t>```</w:t>
      </w:r>
    </w:p>
    <w:p>
      <w:pPr>
        <w:pStyle w:val="Heading1"/>
      </w:pPr>
      <w:r>
        <w:t>影像学按病灶追踪</w:t>
      </w:r>
    </w:p>
    <w:p>
      <w:pPr>
        <w:widowControl/>
      </w:pPr>
      <w:r>
        <w:t>涵盖X线、CT、增强CT、HRCT、CTPA、PET/CT、胸膜超声及实际检查。提取检查日期、报告回报、侧别、肺叶肺段、病灶编号、长短径与单位、密度、边缘、范围、实性成分、淋巴结、胸膜及血管。比较同一病灶与相似扫描条件，不能把不同结节的尺寸比较为增长；旧片不可得时不写增大。PET摄取不特异，阴性不能排除所有小结节或低代谢肿瘤。</w:t>
      </w:r>
    </w:p>
    <w:p>
      <w:pPr>
        <w:pStyle w:val="Heading1"/>
      </w:pPr>
      <w:r>
        <w:t>感染指标与病原归因</w:t>
      </w:r>
    </w:p>
    <w:p>
      <w:pPr>
        <w:widowControl/>
      </w:pPr>
      <w:r>
        <w:t>血常规CRP PCT按检查时间趋势和免疫状态分析，不用单项确诊细菌或重症。痰、BALF、血、胸水等标本注明采集部位、质量、取样前抗菌药、培养与核酸方法、定量或序列证据、药敏方法及回报。区分污染、定植、可能病原、临床相关感染和病原确证。耐药基因不必然等同表型耐药；核酸可残留，mNGS序列数不单独证明感染，不能用检出所有微生物决定联合用药。结核抗酸阳性须鉴别NTM；IGRA阳性不确诊活动结核；真菌指标受宿主、预防和交叉反应影响。</w:t>
      </w:r>
    </w:p>
    <w:p>
      <w:pPr>
        <w:pStyle w:val="Heading1"/>
      </w:pPr>
      <w:r>
        <w:t>肿瘤与病理证据</w:t>
      </w:r>
    </w:p>
    <w:p>
      <w:pPr>
        <w:widowControl/>
      </w:pPr>
      <w:r>
        <w:t>痰及胸水细胞学、镜下活检、肺穿刺、胸膜病理按标本位置和样本号绑定，记录初报补充报告和免疫组化。不能将“可疑恶性”变“腺癌确诊”；病理阴性可能为取材不足，不能排除全部恶性。驱动基因、融合、PDL1检测平台、样本、阈值和数值按原报告；缺基因数据不推适用靶向药。分期列已完成与缺失检查，注明TNM体系版本及cTNM或pTNM，不根据影像最大径独自完成总分期。</w:t>
      </w:r>
    </w:p>
    <w:p>
      <w:pPr>
        <w:pStyle w:val="Heading1"/>
      </w:pPr>
      <w:r>
        <w:t>胸水及其他关联分析</w:t>
      </w:r>
    </w:p>
    <w:p>
      <w:pPr>
        <w:widowControl/>
      </w:pPr>
      <w:r>
        <w:t>Light标准三条：胸水蛋白与血清蛋白比&gt;0.5；胸水LDH与血清LDH比&gt;0.6；胸水LDH&gt;血清LDH正常上限的三分之二。任一真实可计算阳性可支持渗出；判漏出需三项均可核实且不满足。缺项不能自动补阴性。利尿后可能假性渗出，结合梯度和临床。ADA升高、低葡萄糖或低pH非单病因特异；恶性胸水须细胞或病理等证据。</w:t>
      </w:r>
    </w:p>
    <w:p>
      <w:pPr>
        <w:pStyle w:val="Heading1"/>
      </w:pPr>
      <w:r>
        <w:t>典型虚构病例与执行结果</w:t>
      </w:r>
    </w:p>
    <w:p>
      <w:pPr>
        <w:widowControl/>
      </w:pPr>
      <w:r>
        <w:t>虚构R005/E05动脉血气pH7.28、PaCO2 70mmHg、HCO3-32mmol/L，鼻导管3L/min、FiO2不明。存在酸血症与高碳酸血症，呼吸性酸中毒；既往慢性高碳酸史缺失，不直接认定完全慢性代偿。不能精确计算P/F；血气动态必须匹配支持时点。</w:t>
      </w:r>
    </w:p>
    <w:p>
      <w:pPr>
        <w:pStyle w:val="Heading1"/>
      </w:pPr>
      <w:r>
        <w:t>医学真实性边界与常见错误</w:t>
      </w:r>
    </w:p>
    <w:p>
      <w:pPr>
        <w:widowControl/>
      </w:pPr>
      <w:r>
        <w:t>常见错误：把BE等同HCO3-、低FVC确诊限制、舒张反应分母混淆、单胸水蛋白判Light阴性、把细胞学可疑当病理确诊。</w:t>
      </w:r>
    </w:p>
    <w:p>
      <w:pPr>
        <w:widowControl/>
      </w:pPr>
      <w:r>
        <w:t>未知不等于阴性；历史结果不等于当日实测；未来回报不能进入过去时点；影像提示不能升级为病理确诊。缺失关键身份或诊疗事实则只列待核项，次要缺项可以省略，不强行补齐。</w:t>
      </w:r>
    </w:p>
    <w:p>
      <w:pPr>
        <w:pStyle w:val="Heading1"/>
      </w:pPr>
      <w:r>
        <w:t>质量控制及模块联动</w:t>
      </w:r>
    </w:p>
    <w:p>
      <w:pPr>
        <w:widowControl/>
      </w:pPr>
      <w:r>
        <w:t>提交前核对患者及住院次数、事实时间与回报时间、左右和肺叶部位、证据确定度、氧疗采样条件、药物执行和停用、操作装置状态、真实医师意见及代码框格式。</w:t>
      </w:r>
    </w:p>
    <w:p>
      <w:pPr>
        <w:widowControl/>
      </w:pPr>
      <w:r>
        <w:t>联动：03变量及评分；05支持条件；07治疗；11事件归属；101至108专病。最终统一调用10；任一严重错误未解决，不发布受影响净稿。</w:t>
      </w:r>
    </w:p>
    <w:p>
      <w:pPr>
        <w:pStyle w:val="Heading1"/>
      </w:pPr>
      <w:r>
        <w:t>指南来源与版本维护</w:t>
      </w:r>
    </w:p>
    <w:p>
      <w:pPr>
        <w:widowControl/>
      </w:pPr>
      <w:r>
        <w:t>以下只列本模块相关来源，完整题录、适用范围、访问限制及核验状态见根目录《指南核验.md》。不将旧指南称为最新，不将计划书用于生成临床推荐。</w:t>
      </w:r>
    </w:p>
    <w:p>
      <w:pPr>
        <w:pStyle w:val="Source"/>
        <w:widowControl/>
      </w:pPr>
      <w:r>
        <w:t>- R04 Global Strategy for Prevention Diagnosis and Management of COPD 2026 Report。GOLD，2026；2025-11-10初发更新说明；官网报告文件标记2025-12-08 v1.3。2026正式报告；非中国2026修订指南。来源：https://goldcopd.org/2026-gold-report-and-pocket-guide/。核验 2026-10-26；官方报告入口及更新摘要已核验；大PDF网页读取受限。</w:t>
      </w:r>
    </w:p>
    <w:p>
      <w:pPr>
        <w:pStyle w:val="Source"/>
        <w:widowControl/>
      </w:pPr>
      <w:r>
        <w:t>- R05 Global Strategy for Asthma Management and Prevention 2026 update。GINA，2026；2026-05；具体日未从报告封面核实。2026正式策略。来源：https://ginasthma.org/wp-content/uploads/2026/05/GINA-2026-Strategy-Report-WMS.pdf。核验 2026-10-26；官方PDF题名及索引已核验；17MB全文网页读取受限。</w:t>
      </w:r>
    </w:p>
    <w:p>
      <w:pPr>
        <w:pStyle w:val="Source"/>
        <w:widowControl/>
      </w:pPr>
      <w:r>
        <w:t>- R10 中国成人社区获得性肺炎诊断和治疗指南（2016年版）。中华医学会呼吸病学分会，2016；2016-04；具体日未核实。正式指南；基线参考，非声称最新所有CAP指南。来源：https://doi.org/10.3760/cma.j.issn.1001-0939.2016.04.005。核验 2026-10-26；中华医学会出版平台全文。</w:t>
      </w:r>
    </w:p>
    <w:p>
      <w:pPr>
        <w:pStyle w:val="Source"/>
        <w:widowControl/>
      </w:pPr>
      <w:r>
        <w:t>- R15 Treatment of Nontuberculous Mycobacterial Pulmonary Disease Official ATS ERS ESCMID IDSA Clinical Practice Guideline。ATS ERS ESCMID IDSA，2020；2020-07-06。正式指南并有2020更正。来源：https://www.idsociety.org/practice-guideline/nontuberculous-mycobacterial-ntm-diseases/。核验 2026-10-26；发布机构全文。</w:t>
      </w:r>
    </w:p>
    <w:p>
      <w:pPr>
        <w:pStyle w:val="Source"/>
        <w:widowControl/>
      </w:pPr>
      <w:r>
        <w:t>- R17 中华医学会肿瘤学分会肺癌临床诊疗指南（2026版）。中华医学会肿瘤学分会，2026；中华肿瘤杂志2026-09-23；中华医学杂志2026-09-22。正式发表；两个期刊DOI勿混记。来源：https://pubmed.ncbi.nlm.nih.gov/42763208/。核验 2026-10-26；PubMed原文摘要及期刊目次已核验；全文访问受限；中华肿瘤杂志DOI 10.3760/cma.j.cn112152-20260511-00228。</w:t>
      </w:r>
    </w:p>
    <w:p>
      <w:pPr>
        <w:pStyle w:val="Source"/>
        <w:widowControl/>
      </w:pPr>
      <w:r>
        <w:t>- R19 Idiopathic Pulmonary Fibrosis an Update and Progressive Pulmonary Fibrosis in Adults Official ATS ERS JRS ALAT Clinical Practice Guideline。ATS ERS JRS ALAT，2022；2022-05-01。正式更新。来源：https://member.thoracic.org/statements/guideline-implementation-tools/matrix-guidelines-and-derivatives-ipf-update.php。核验 2026-10-26；发布机构指南入口。</w:t>
      </w:r>
    </w:p>
    <w:p>
      <w:pPr>
        <w:pStyle w:val="Source"/>
        <w:widowControl/>
      </w:pPr>
      <w:r>
        <w:t>- R23 British Thoracic Society Guideline for pleural disease。BTS，2023；2023-07-01。官方页面标记Valid。来源：https://www.brit-thoracic.org.uk/clinical-resources/guidelines/pleural-disease-full-guideline/。核验 2026-10-26；发布机构全文入口。</w:t>
      </w:r>
    </w:p>
    <w:p>
      <w:pPr>
        <w:pStyle w:val="Source"/>
        <w:widowControl/>
      </w:pPr>
      <w:r>
        <w:t>- R27 A New Global Definition of Acute Respiratory Distress Syndrome。国际专家共识工作组，2024卷期；2023-07在线；2024-01-01卷期。全球定义扩展；与Berlin 2012分开。来源：https://doi.org/10.1164/rccm.202303-0558WS。核验 2026-10-26；原始共识。</w:t>
      </w:r>
    </w:p>
    <w:p>
      <w:pPr>
        <w:pStyle w:val="Source"/>
        <w:widowControl/>
      </w:pPr>
      <w:r>
        <w:t>- R29 ERS ATS technical standard on interpretive strategies for routine lung function tests。ERS ATS，2022发表；2022-07卷期；2021在线，具体日未核实。技术解释标准；不替代各病种诊断标准。来源：https://doi.org/10.1183/13993003.01499-2021。核验 2026-10-26；ERS原始标准。</w:t>
      </w:r>
    </w:p>
    <w:p>
      <w:pPr>
        <w:pStyle w:val="Source"/>
        <w:widowControl/>
      </w:pPr>
      <w:r>
        <w:t>- R38 Acid Base Disorders MSD Manual Professional Edition。MSD Manual专业版作者及同行审阅，2025更新；2025-03全面审阅；2025-04更新，具体日未提供。专业参考手册；不是学会指南。来源：https://www.msdmanuals.com/professional/nephrology/acid-base-regulation-and-disorders/acid-base-disorders。核验 2026-10-26；专业版正文及代偿表已核验。</w:t>
      </w:r>
    </w:p>
    <w:p>
      <w:pPr>
        <w:pStyle w:val="Heading1"/>
      </w:pPr>
      <w:r>
        <w:t>版本更新说明</w:t>
      </w:r>
    </w:p>
    <w:p>
      <w:pPr>
        <w:widowControl/>
      </w:pPr>
      <w:r>
        <w:t>V1.0于2026-10-26建立。更新时记录指南正式版或更正、规则变更、受影响模块及回归测试编号。新版通过验证前保留旧规则的适用时间与来源；不静默改写已签病历。本次临床模拟是规则与文书测试，不能替代医院试运行、专家审定或真实临床效能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医师审核用规则库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呼吸内科AI病历书写系统 V1.0  |  04 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9" w:lineRule="auto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="Hiragino Sans GB" w:hAnsi="Hiragino Sans GB" w:eastAsia="Hiragino Sans GB" w:cs="Hiragino Sans GB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">
    <w:name w:val="Template"/>
    <w:pPr>
      <w:spacing w:line="264" w:lineRule="auto" w:after="60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customStyle="1" w:styleId="Source">
    <w:name w:val="Source"/>
    <w:pPr>
      <w:spacing w:after="100"/>
    </w:pPr>
    <w:rPr>
      <w:rFonts w:ascii="Hiragino Sans GB" w:hAnsi="Hiragino Sans GB" w:eastAsia="Hiragino Sans GB" w:cs="Hiragino Sans GB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呼吸内科检验血气肺功能影像病原学及病理分析模板库</dc:title>
  <dc:subject>呼吸与危重症医学科医学文书规则库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