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102 支气管哮喘支气管扩张及其他慢性气道疾病模板库</w:t>
      </w:r>
    </w:p>
    <w:p>
      <w:r>
        <w:t>文件编号 102　版本 V1.0</w:t>
      </w:r>
    </w:p>
    <w:p>
      <w:r>
        <w:t>所属层级 第三级 专病模板层</w:t>
      </w:r>
    </w:p>
    <w:p>
      <w:r>
        <w:t>建设与核验日期 2026-10-26</w:t>
      </w:r>
    </w:p>
    <w:p>
      <w:r>
        <w:t>功能定位 可变气流受限、支扩和慢性咳嗽</w:t>
      </w:r>
    </w:p>
    <w:p>
      <w:r>
        <w:t>适用任务 哮喘、支扩、气道炎症、反复咳嗽咳痰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专病使用流程与格式约束</w:t>
      </w:r>
    </w:p>
    <w:p>
      <w:r>
        <w:t>支气管哮喘及严重急性发作</w:t>
      </w:r>
    </w:p>
    <w:p>
      <w:r>
        <w:t>支气管扩张症及感染咯血</w:t>
      </w:r>
    </w:p>
    <w:p>
      <w:r>
        <w:t>慢性咳嗽与其他嗜酸性气道疾病</w:t>
      </w:r>
    </w:p>
    <w:p>
      <w:r>
        <w:t>扩展亚型与复杂场景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第三级 专病模板层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功能定位：可变气流受限、支扩和慢性咳嗽。</w:t>
      </w:r>
    </w:p>
    <w:p>
      <w:pPr>
        <w:widowControl/>
      </w:pPr>
      <w:r>
        <w:t>调用条件：哮喘、支扩、气道炎症、反复咳嗽咳痰。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专病使用流程与格式约束</w:t>
      </w:r>
    </w:p>
    <w:p>
      <w:pPr>
        <w:widowControl/>
      </w:pPr>
      <w:r>
        <w:t>先由11确定患者及本次住院、记录时点、当时可得证据和当前治疗；03与04负责实查评分及报告；05处理操作设备，06处理急变，07核对实际方案，08区分医师层级，09出院衔接，最后10。</w:t>
      </w:r>
    </w:p>
    <w:p>
      <w:pPr>
        <w:widowControl/>
      </w:pPr>
      <w:r>
        <w:t>所有正式医学文书正文置于独立 Markdown text 代码框。文书日期时间及标题置于框外；包括“某某主治医师查房记录”“某某副主任医师查房记录”“某某主任医师查房记录”。框内只保留可复制至电子病历正文栏的内容，不重复题头日期及标题，不加AI解释、前言或备注。日常病程及三级查房必须连续完整一整段，无空行，不分条，不人为添加多余空格。入院、首次病程、特殊操作、抢救、讨论及出院等规范栏目可按需要保留。抢救和操作的实际事件时间、必要的历史检查日期必须保留，不能将“不重复题头”误解为删除临床时点。不得因整段要求压缩必要诊断依据、鉴别、风险和计划。不得将“不能补写”“不能写成”等给模板执行者的操作说明放入正式正文；证据缺口应客观写为“性质待定”“尚待复评”等临床表述，核对事项置框外。正式净稿不得出现未替换占位符；关键事实冲突在框外单列核实项，阻断受影响净稿。禁止“根据昨天查房记录”“结合前一天的查体情况”“根据用户上传的CT图片”“AI分析认为”等叙述。模板中的【字段】仅用于建设和填充教学，不能直接提交。示例病例全为虚构，禁止继承至真实患者。</w:t>
      </w:r>
    </w:p>
    <w:p>
      <w:pPr>
        <w:pStyle w:val="Heading1"/>
      </w:pPr>
      <w:r>
        <w:t>支气管哮喘及严重急性发作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有可变呼吸症状及可变呼气气流受限证据的慢性气道疾病；急性发作与长期重症分开。</w:t>
      </w:r>
    </w:p>
    <w:p>
      <w:pPr>
        <w:pStyle w:val="Heading2"/>
      </w:pPr>
      <w:r>
        <w:t>02 病因和机制</w:t>
      </w:r>
    </w:p>
    <w:p>
      <w:pPr>
        <w:widowControl/>
      </w:pPr>
      <w:r>
        <w:t>气道炎症和高反应性涉及不同表型，过敏或嗜酸细胞增多不是全部诊断。</w:t>
      </w:r>
    </w:p>
    <w:p>
      <w:pPr>
        <w:pStyle w:val="Heading2"/>
      </w:pPr>
      <w:r>
        <w:t>03 临床表现</w:t>
      </w:r>
    </w:p>
    <w:p>
      <w:pPr>
        <w:widowControl/>
      </w:pPr>
      <w:r>
        <w:t>反复可变喘息、气短、胸闷或咳嗽；重发作可疲劳、说话困难或寂静胸。这些是知识性表现，只将患者真实存在的内容写入正文。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昼夜和季节诱因、缓解变化、过敏职业暴露、含ICS实际使用、近4周控制与既往重发作。</w:t>
      </w:r>
    </w:p>
    <w:p>
      <w:pPr>
        <w:pStyle w:val="Heading2"/>
      </w:pPr>
      <w:r>
        <w:t>05 专科检查</w:t>
      </w:r>
    </w:p>
    <w:p>
      <w:pPr>
        <w:widowControl/>
      </w:pPr>
      <w:r>
        <w:t>说话、意识疲劳、呼吸功、RR心率SpO2和哮鸣；寂静胸不能自动好转。</w:t>
      </w:r>
    </w:p>
    <w:p>
      <w:pPr>
        <w:pStyle w:val="Heading2"/>
      </w:pPr>
      <w:r>
        <w:t>06 检验血气</w:t>
      </w:r>
    </w:p>
    <w:p>
      <w:pPr>
        <w:widowControl/>
      </w:pPr>
      <w:r>
        <w:t>血气用于重发作或通气风险，嗜酸细胞IgE等结合激素暴露，CO2正常升高可提示风险。</w:t>
      </w:r>
    </w:p>
    <w:p>
      <w:pPr>
        <w:pStyle w:val="Heading2"/>
      </w:pPr>
      <w:r>
        <w:t>07 肺功能</w:t>
      </w:r>
    </w:p>
    <w:p>
      <w:pPr>
        <w:widowControl/>
      </w:pPr>
      <w:r>
        <w:t>记录舒张反应前后与分母、PEF变异或激发结果；一次阴性不排除，按GINA适用证据。</w:t>
      </w:r>
    </w:p>
    <w:p>
      <w:pPr>
        <w:pStyle w:val="Heading2"/>
      </w:pPr>
      <w:r>
        <w:t>08 影像检查</w:t>
      </w:r>
    </w:p>
    <w:p>
      <w:pPr>
        <w:widowControl/>
      </w:pPr>
      <w:r>
        <w:t>非典型或重症检查用于气胸感染异物等鉴别，不以正常CT否定哮喘。</w:t>
      </w:r>
    </w:p>
    <w:p>
      <w:pPr>
        <w:pStyle w:val="Heading2"/>
      </w:pPr>
      <w:r>
        <w:t>09 病原和病理</w:t>
      </w:r>
    </w:p>
    <w:p>
      <w:pPr>
        <w:widowControl/>
      </w:pPr>
      <w:r>
        <w:t>感染检查按疑点，不因喘息预设病原；表型检测不替代确诊。</w:t>
      </w:r>
    </w:p>
    <w:p>
      <w:pPr>
        <w:pStyle w:val="Heading2"/>
      </w:pPr>
      <w:r>
        <w:t>10 诊断标准</w:t>
      </w:r>
    </w:p>
    <w:p>
      <w:pPr>
        <w:widowControl/>
      </w:pPr>
      <w:r>
        <w:t>典型可变症状加客观气流可变证据，已治疗或难以测试者由医师按实际资料评估。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逐项对应典型可变症状加客观气流可变证据，已治疗或难以测试者由医师按实际资料评估。支持证据、反对证据和缺口分别写，不由模板补足。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COPD、心衰、诱导性喉阻塞、异物、支扩及嗜酸性肺病。</w:t>
      </w:r>
    </w:p>
    <w:p>
      <w:pPr>
        <w:pStyle w:val="Heading2"/>
      </w:pPr>
      <w:r>
        <w:t>13 分型分期</w:t>
      </w:r>
    </w:p>
    <w:p>
      <w:pPr>
        <w:widowControl/>
      </w:pPr>
      <w:r>
        <w:t>控制水平、未来风险、急性发作程度、难治或重症哮喘四者分别；重症须优化治疗后回顾判断。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既往重发作、低肺功能、用药不足、依从性和当前意识疲劳低氧。</w:t>
      </w:r>
    </w:p>
    <w:p>
      <w:pPr>
        <w:pStyle w:val="Heading2"/>
      </w:pPr>
      <w:r>
        <w:t>15 治疗原则</w:t>
      </w:r>
    </w:p>
    <w:p>
      <w:pPr>
        <w:widowControl/>
      </w:pPr>
      <w:r>
        <w:t>含ICS治疗原则、装置依从性和诱因管理；具体阶梯处方及生物制剂由医师确认。</w:t>
      </w:r>
    </w:p>
    <w:p>
      <w:pPr>
        <w:pStyle w:val="Heading2"/>
      </w:pPr>
      <w:r>
        <w:t>16 呼吸支持</w:t>
      </w:r>
    </w:p>
    <w:p>
      <w:pPr>
        <w:widowControl/>
      </w:pPr>
      <w:r>
        <w:t>严重发作及时床旁评估支持，不能靠NIV拖延气道管理；参数真实。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镜检查用于必要鉴别或并发问题，不作为哮喘常规确诊操作。</w:t>
      </w:r>
    </w:p>
    <w:p>
      <w:pPr>
        <w:pStyle w:val="Heading2"/>
      </w:pPr>
      <w:r>
        <w:t>18 并发症</w:t>
      </w:r>
    </w:p>
    <w:p>
      <w:pPr>
        <w:widowControl/>
      </w:pPr>
      <w:r>
        <w:t>呼衰、气胸、纵隔气肿和药物不良反应。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病例特点：【本例支气管哮喘及严重急性发作相关病史、当次实查、氧合支持及已得证据】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诊断依据：【典型可变症状加客观气流可变证据，已治疗或难以测试者由医师按实际资料评估中的真实证据】</w:t>
      </w:r>
    </w:p>
    <w:p>
      <w:pPr>
        <w:pStyle w:val="Template"/>
        <w:keepLines w:val="0"/>
      </w:pPr>
      <w:r>
        <w:t>鉴别诊断：【COPD、心衰、诱导性喉阻塞、异物、支扩及嗜酸性肺病中适用于本例的支持反对及缺口】</w:t>
      </w:r>
    </w:p>
    <w:p>
      <w:pPr>
        <w:pStyle w:val="Template"/>
        <w:keepLines w:val="0"/>
      </w:pPr>
      <w:r>
        <w:t>病情评估：【既往重发作、低肺功能、用药不足、依从性和当前意识疲劳低氧的实际状态】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支气管哮喘及严重急性发作诊断及确定度】，重点评估【区分可变气流证据、当日发作及长期控制，识别寂静胸和CO2变化风险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层级重点：COPD、心衰、诱导性喉阻塞、异物、支扩及嗜酸性肺病的鉴别及控制水平、未来风险、急性发作程度、难治或重症哮喘四者分别；重症须优化治疗后回顾判断。只录真实医师意见，不能仅更换姓名。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COPD、心衰、诱导性喉阻塞、异物、支扩及嗜酸性肺病的鉴别及控制水平、未来风险、急性发作程度、难治或重症哮喘四者分别；重症须优化治疗后回顾判断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层级重点：区分可变气流证据、当日发作及长期控制，识别寂静胸和CO2变化风险，权衡重大支持、介入与长期目标。只录真实医师意见，不能仅更换姓名。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区分可变气流证据、当日发作及长期控制，识别寂静胸和CO2变化风险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含ICS治疗原则、装置依从性和诱因管理；具体阶梯处方及生物制剂由医师确认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优先识别既往重发作、低肺功能、用药不足、依从性和当前意识疲劳低氧。紧急临床处置先于字段，06主导抢救。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呼衰、气胸、纵隔气肿和药物不良反应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入出院诊断：【支气管哮喘及严重急性发作相关确定诊断与修正依据】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出院医嘱：【真实带药及设备、复核诊断、控制与风险、装置、行动计划及表型评估，时间按真实计划中的确认安排与责任】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随访：【复核诊断、控制与风险、装置、行动计划及表型评估，时间按真实计划对应的具体确认计划】</w:t>
      </w:r>
    </w:p>
    <w:p>
      <w:pPr>
        <w:pStyle w:val="Template"/>
        <w:keepLines w:val="0"/>
      </w:pPr>
      <w:r>
        <w:t>警示症状：【针对既往重发作、低肺功能、用药不足、依从性和当前意识疲劳低氧的个体及时就诊提示】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复核诊断、控制与风险、装置、行动计划及表型评估，时间按真实计划；待回病原病理、未解决诊断和装置问题均需实际责任人及反馈路径。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喘息不确诊，ACT缺项不算，重症与重度急性发作不能混写。先核对身份、同次支持与血气、病种证据、治疗执行和医师意见，再执行10。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支气管扩张症及感染咯血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支气管异常持久扩张的结构病，结合慢性或反复呼吸症状，牵拉性支扩需结合ILD背景。</w:t>
      </w:r>
    </w:p>
    <w:p>
      <w:pPr>
        <w:pStyle w:val="Heading2"/>
      </w:pPr>
      <w:r>
        <w:t>02 病因和机制</w:t>
      </w:r>
    </w:p>
    <w:p>
      <w:pPr>
        <w:widowControl/>
      </w:pPr>
      <w:r>
        <w:t>气道损伤、黏液清除障碍与感染炎症相互作用；先天免疫纤毛和继发原因不同。</w:t>
      </w:r>
    </w:p>
    <w:p>
      <w:pPr>
        <w:pStyle w:val="Heading2"/>
      </w:pPr>
      <w:r>
        <w:t>03 临床表现</w:t>
      </w:r>
    </w:p>
    <w:p>
      <w:pPr>
        <w:widowControl/>
      </w:pPr>
      <w:r>
        <w:t>慢性咳嗽咳痰、反复加重或咯血，亦可症状较少；急变看与自身基线差异。这些是知识性表现，只将患者真实存在的内容写入正文。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基线痰量与脓性、本次加重、咯血时段量级、既往病原、结核与免疫疾病、排痰能力。</w:t>
      </w:r>
    </w:p>
    <w:p>
      <w:pPr>
        <w:pStyle w:val="Heading2"/>
      </w:pPr>
      <w:r>
        <w:t>05 专科检查</w:t>
      </w:r>
    </w:p>
    <w:p>
      <w:pPr>
        <w:widowControl/>
      </w:pPr>
      <w:r>
        <w:t>左右肺啰音、呼吸功、血氧条件、杵状指及循环；咯血优先气道风险。</w:t>
      </w:r>
    </w:p>
    <w:p>
      <w:pPr>
        <w:pStyle w:val="Heading2"/>
      </w:pPr>
      <w:r>
        <w:t>06 检验血气</w:t>
      </w:r>
    </w:p>
    <w:p>
      <w:pPr>
        <w:widowControl/>
      </w:pPr>
      <w:r>
        <w:t>感染指标及必要血气，免疫球蛋白、ABPA等病因检查按适用风险。</w:t>
      </w:r>
    </w:p>
    <w:p>
      <w:pPr>
        <w:pStyle w:val="Heading2"/>
      </w:pPr>
      <w:r>
        <w:t>07 肺功能</w:t>
      </w:r>
    </w:p>
    <w:p>
      <w:pPr>
        <w:widowControl/>
      </w:pPr>
      <w:r>
        <w:t>可有阻塞混合或近正常，不以肺功能正常排除结构性支扩。</w:t>
      </w:r>
    </w:p>
    <w:p>
      <w:pPr>
        <w:pStyle w:val="Heading2"/>
      </w:pPr>
      <w:r>
        <w:t>08 影像检查</w:t>
      </w:r>
    </w:p>
    <w:p>
      <w:pPr>
        <w:widowControl/>
      </w:pPr>
      <w:r>
        <w:t>薄层CT明确病变肺叶、范围和类型；区分纤维化牵拉改变。</w:t>
      </w:r>
    </w:p>
    <w:p>
      <w:pPr>
        <w:pStyle w:val="Heading2"/>
      </w:pPr>
      <w:r>
        <w:t>09 病原和病理</w:t>
      </w:r>
    </w:p>
    <w:p>
      <w:pPr>
        <w:widowControl/>
      </w:pPr>
      <w:r>
        <w:t>痰及BALF记录质量和抗菌前后，铜绿假单胞菌等慢性检出不等于每次均急性感染。</w:t>
      </w:r>
    </w:p>
    <w:p>
      <w:pPr>
        <w:pStyle w:val="Heading2"/>
      </w:pPr>
      <w:r>
        <w:t>10 诊断标准</w:t>
      </w:r>
    </w:p>
    <w:p>
      <w:pPr>
        <w:widowControl/>
      </w:pPr>
      <w:r>
        <w:t>相应症状与CT结构证据，急性加重须较基线变化；病原归因独立。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逐项对应相应症状与CT结构证据，急性加重须较基线变化；病原归因独立。支持证据、反对证据和缺口分别写，不由模板补足。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慢阻肺、哮喘、活动结核、NTM、肺脓肿与肿瘤阻塞。</w:t>
      </w:r>
    </w:p>
    <w:p>
      <w:pPr>
        <w:pStyle w:val="Heading2"/>
      </w:pPr>
      <w:r>
        <w:t>13 分型分期</w:t>
      </w:r>
    </w:p>
    <w:p>
      <w:pPr>
        <w:widowControl/>
      </w:pPr>
      <w:r>
        <w:t>病因、范围、加重状态、慢性感染和咯血风险分开；BSI FACED需全变量。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加重频繁、既往住院、低肺功能、低氧、营养及危及生命咯血。</w:t>
      </w:r>
    </w:p>
    <w:p>
      <w:pPr>
        <w:pStyle w:val="Heading2"/>
      </w:pPr>
      <w:r>
        <w:t>15 治疗原则</w:t>
      </w:r>
    </w:p>
    <w:p>
      <w:pPr>
        <w:widowControl/>
      </w:pPr>
      <w:r>
        <w:t>个体气道清除、按病原及风险抗感染、病因治疗；ICS不作为所有支扩常规。</w:t>
      </w:r>
    </w:p>
    <w:p>
      <w:pPr>
        <w:pStyle w:val="Heading2"/>
      </w:pPr>
      <w:r>
        <w:t>16 呼吸支持</w:t>
      </w:r>
    </w:p>
    <w:p>
      <w:pPr>
        <w:widowControl/>
      </w:pPr>
      <w:r>
        <w:t>低氧或通气障碍按实际评估支持；大咯血不能仅上氧等待。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局限病变或疑阻塞可镜检；危及生命咯血需介入栓塞或外科协作评估。</w:t>
      </w:r>
    </w:p>
    <w:p>
      <w:pPr>
        <w:pStyle w:val="Heading2"/>
      </w:pPr>
      <w:r>
        <w:t>18 并发症</w:t>
      </w:r>
    </w:p>
    <w:p>
      <w:pPr>
        <w:widowControl/>
      </w:pPr>
      <w:r>
        <w:t>咯血、呼衰、慢性感染、肺高压及药物毒性。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病例特点：【本例支气管扩张症及感染咯血相关病史、当次实查、氧合支持及已得证据】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诊断依据：【相应症状与CT结构证据，急性加重须较基线变化；病原归因独立中的真实证据】</w:t>
      </w:r>
    </w:p>
    <w:p>
      <w:pPr>
        <w:pStyle w:val="Template"/>
        <w:keepLines w:val="0"/>
      </w:pPr>
      <w:r>
        <w:t>鉴别诊断：【慢阻肺、哮喘、活动结核、NTM、肺脓肿与肿瘤阻塞中适用于本例的支持反对及缺口】</w:t>
      </w:r>
    </w:p>
    <w:p>
      <w:pPr>
        <w:pStyle w:val="Template"/>
        <w:keepLines w:val="0"/>
      </w:pPr>
      <w:r>
        <w:t>病情评估：【加重频繁、既往住院、低肺功能、低氧、营养及危及生命咯血的实际状态】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支气管扩张症及感染咯血诊断及确定度】，重点评估【比较基线与当前痰量咯血，判断感染加重与定植并确认清除策略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层级重点：慢阻肺、哮喘、活动结核、NTM、肺脓肿与肿瘤阻塞的鉴别及病因、范围、加重状态、慢性感染和咯血风险分开；BSI FACED需全变量。只录真实医师意见，不能仅更换姓名。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慢阻肺、哮喘、活动结核、NTM、肺脓肿与肿瘤阻塞的鉴别及病因、范围、加重状态、慢性感染和咯血风险分开；BSI FACED需全变量形成的真实意见及依据】。目前【实际治疗和装置支持】，后续【已确认决策、风险和复评条件】。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层级重点：比较基线与当前痰量咯血，判断感染加重与定植并确认清除策略，权衡重大支持、介入与长期目标。只录真实医师意见，不能仅更换姓名。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比较基线与当前痰量咯血，判断感染加重与定植并确认清除策略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个体气道清除、按病原及风险抗感染、病因治疗；ICS不作为所有支扩常规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优先识别加重频繁、既往住院、低肺功能、低氧、营养及危及生命咯血。紧急临床处置先于字段，06主导抢救。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咯血、呼衰、慢性感染、肺高压及药物毒性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入出院诊断：【支气管扩张症及感染咯血相关确定诊断与修正依据】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出院医嘱：【真实带药及设备、痰培养、加重记录、咯血与清除能力、病因治疗和专科长期方案中的确认安排与责任】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随访：【痰培养、加重记录、咯血与清除能力、病因治疗和专科长期方案对应的具体确认计划】</w:t>
      </w:r>
    </w:p>
    <w:p>
      <w:pPr>
        <w:pStyle w:val="Template"/>
        <w:keepLines w:val="0"/>
      </w:pPr>
      <w:r>
        <w:t>警示症状：【针对加重频繁、既往住院、低肺功能、低氧、营养及危及生命咯血的个体及时就诊提示】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痰培养、加重记录、咯血与清除能力、病因治疗和专科长期方案；待回病原病理、未解决诊断和装置问题均需实际责任人及反馈路径。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不将所有痰阳性都治疗、不虚构血量，不在活动大咯血机械照搬排痰动作。先核对身份、同次支持与血气、病种证据、治疗执行和医师意见，再执行10。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慢性咳嗽与其他嗜酸性气道疾病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持续咳嗽需按病程、病史影像及气道证据寻因，成人慢性咳嗽通常超过8周。</w:t>
      </w:r>
    </w:p>
    <w:p>
      <w:pPr>
        <w:pStyle w:val="Heading2"/>
      </w:pPr>
      <w:r>
        <w:t>02 病因和机制</w:t>
      </w:r>
    </w:p>
    <w:p>
      <w:pPr>
        <w:widowControl/>
      </w:pPr>
      <w:r>
        <w:t>可涉上气道咳嗽综合征、咳嗽变异性哮喘、嗜酸性支气管炎、反流或药物等。</w:t>
      </w:r>
    </w:p>
    <w:p>
      <w:pPr>
        <w:pStyle w:val="Heading2"/>
      </w:pPr>
      <w:r>
        <w:t>03 临床表现</w:t>
      </w:r>
    </w:p>
    <w:p>
      <w:pPr>
        <w:widowControl/>
      </w:pPr>
      <w:r>
        <w:t>以持续咳嗽为主，干湿和诱因因病因而异，可伴鼻部、反流或可变气道症状。这些是知识性表现，只将患者真实存在的内容写入正文。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干湿、夜间诱因、鼻部反流、ACEI、吸烟暴露、危险信号及以往试治。</w:t>
      </w:r>
    </w:p>
    <w:p>
      <w:pPr>
        <w:pStyle w:val="Heading2"/>
      </w:pPr>
      <w:r>
        <w:t>05 专科检查</w:t>
      </w:r>
    </w:p>
    <w:p>
      <w:pPr>
        <w:widowControl/>
      </w:pPr>
      <w:r>
        <w:t>鼻咽与胸肺真实检查；正常肺部听诊不能排除气道炎症。</w:t>
      </w:r>
    </w:p>
    <w:p>
      <w:pPr>
        <w:pStyle w:val="Heading2"/>
      </w:pPr>
      <w:r>
        <w:t>06 检验血气</w:t>
      </w:r>
    </w:p>
    <w:p>
      <w:pPr>
        <w:widowControl/>
      </w:pPr>
      <w:r>
        <w:t>嗜酸细胞FeNO或诱导痰按实际检验；必要血气由呼吸风险决定，不常规补造。</w:t>
      </w:r>
    </w:p>
    <w:p>
      <w:pPr>
        <w:pStyle w:val="Heading2"/>
      </w:pPr>
      <w:r>
        <w:t>07 肺功能</w:t>
      </w:r>
    </w:p>
    <w:p>
      <w:pPr>
        <w:widowControl/>
      </w:pPr>
      <w:r>
        <w:t>CVA重客观可变性或高反应；嗜酸支气管炎常无可变气流受限，不能只凭FeNO确诊。</w:t>
      </w:r>
    </w:p>
    <w:p>
      <w:pPr>
        <w:pStyle w:val="Heading2"/>
      </w:pPr>
      <w:r>
        <w:t>08 影像检查</w:t>
      </w:r>
    </w:p>
    <w:p>
      <w:pPr>
        <w:widowControl/>
      </w:pPr>
      <w:r>
        <w:t>有警示或未明者按医师计划影像，排肿瘤结核和结构疾病。</w:t>
      </w:r>
    </w:p>
    <w:p>
      <w:pPr>
        <w:pStyle w:val="Heading2"/>
      </w:pPr>
      <w:r>
        <w:t>09 病原和病理</w:t>
      </w:r>
    </w:p>
    <w:p>
      <w:pPr>
        <w:widowControl/>
      </w:pPr>
      <w:r>
        <w:t>根据感染线索取材，不能将慢性咳嗽一律写细菌感染。</w:t>
      </w:r>
    </w:p>
    <w:p>
      <w:pPr>
        <w:pStyle w:val="Heading2"/>
      </w:pPr>
      <w:r>
        <w:t>10 诊断标准</w:t>
      </w:r>
    </w:p>
    <w:p>
      <w:pPr>
        <w:widowControl/>
      </w:pPr>
      <w:r>
        <w:t>分病因达到相应证据，允许多病因共存及待查。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逐项对应分病因达到相应证据，允许多病因共存及待查。支持证据、反对证据和缺口分别写，不由模板补足。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CVA、上气道、反流、嗜酸支气管炎、药物、感染和肿瘤。</w:t>
      </w:r>
    </w:p>
    <w:p>
      <w:pPr>
        <w:pStyle w:val="Heading2"/>
      </w:pPr>
      <w:r>
        <w:t>13 分型分期</w:t>
      </w:r>
    </w:p>
    <w:p>
      <w:pPr>
        <w:widowControl/>
      </w:pPr>
      <w:r>
        <w:t>病程分类、病因和有无警示信号；不套COPD分组。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咯血、体重下降、持续发热、明显气促或高危暴露触发进一步评估。</w:t>
      </w:r>
    </w:p>
    <w:p>
      <w:pPr>
        <w:pStyle w:val="Heading2"/>
      </w:pPr>
      <w:r>
        <w:t>15 治疗原则</w:t>
      </w:r>
    </w:p>
    <w:p>
      <w:pPr>
        <w:widowControl/>
      </w:pPr>
      <w:r>
        <w:t>病因导向及实际试治反应，避免无依据长期抗菌与镇咳掩盖风险。</w:t>
      </w:r>
    </w:p>
    <w:p>
      <w:pPr>
        <w:pStyle w:val="Heading2"/>
      </w:pPr>
      <w:r>
        <w:t>16 呼吸支持</w:t>
      </w:r>
    </w:p>
    <w:p>
      <w:pPr>
        <w:widowControl/>
      </w:pPr>
      <w:r>
        <w:t>通常无需支持；如低氧另查原因不能解释为单纯咳嗽。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必要时镜检排气道病变，必须有指征和风险评估。</w:t>
      </w:r>
    </w:p>
    <w:p>
      <w:pPr>
        <w:pStyle w:val="Heading2"/>
      </w:pPr>
      <w:r>
        <w:t>18 并发症</w:t>
      </w:r>
    </w:p>
    <w:p>
      <w:pPr>
        <w:widowControl/>
      </w:pPr>
      <w:r>
        <w:t>晕厥、睡眠和生活影响及原病并发症按实际情况。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病例特点：【本例慢性咳嗽与其他嗜酸性气道疾病相关病史、当次实查、氧合支持及已得证据】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诊断依据：【分病因达到相应证据，允许多病因共存及待查中的真实证据】</w:t>
      </w:r>
    </w:p>
    <w:p>
      <w:pPr>
        <w:pStyle w:val="Template"/>
        <w:keepLines w:val="0"/>
      </w:pPr>
      <w:r>
        <w:t>鉴别诊断：【CVA、上气道、反流、嗜酸支气管炎、药物、感染和肿瘤中适用于本例的支持反对及缺口】</w:t>
      </w:r>
    </w:p>
    <w:p>
      <w:pPr>
        <w:pStyle w:val="Template"/>
        <w:keepLines w:val="0"/>
      </w:pPr>
      <w:r>
        <w:t>病情评估：【咯血、体重下降、持续发热、明显气促或高危暴露触发进一步评估的实际状态】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慢性咳嗽与其他嗜酸性气道疾病诊断及确定度】，重点评估【明确咳嗽病因证据缺口与已执行试治，不把疗效等同确诊全部依据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层级重点：CVA、上气道、反流、嗜酸支气管炎、药物、感染和肿瘤的鉴别及病程分类、病因和有无警示信号；不套COPD分组。只录真实医师意见，不能仅更换姓名。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CVA、上气道、反流、嗜酸支气管炎、药物、感染和肿瘤的鉴别及病程分类、病因和有无警示信号；不套COPD分组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层级重点：明确咳嗽病因证据缺口与已执行试治，不把疗效等同确诊全部依据，权衡重大支持、介入与长期目标。只录真实医师意见，不能仅更换姓名。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明确咳嗽病因证据缺口与已执行试治，不把疗效等同确诊全部依据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病因导向及实际试治反应，避免无依据长期抗菌与镇咳掩盖风险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优先识别咯血、体重下降、持续发热、明显气促或高危暴露触发进一步评估。紧急临床处置先于字段，06主导抢救。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晕厥、睡眠和生活影响及原病并发症按实际情况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入出院诊断：【慢性咳嗽与其他嗜酸性气道疾病相关确定诊断与修正依据】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出院医嘱：【真实带药及设备、病因确认、试治反应和警示症状随访，未改善回到鉴别中的确认安排与责任】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随访：【病因确认、试治反应和警示症状随访，未改善回到鉴别对应的具体确认计划】</w:t>
      </w:r>
    </w:p>
    <w:p>
      <w:pPr>
        <w:pStyle w:val="Template"/>
        <w:keepLines w:val="0"/>
      </w:pPr>
      <w:r>
        <w:t>警示症状：【针对咯血、体重下降、持续发热、明显气促或高危暴露触发进一步评估的个体及时就诊提示】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病因确认、试治反应和警示症状随访，未改善回到鉴别；待回病原病理、未解决诊断和装置问题均需实际责任人及反馈路径。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咳嗽变异性哮喘与嗜酸支气管炎不能仅改名套写。先核对身份、同次支持与血气、病种证据、治疗执行和医师意见，再执行10。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扩展亚型与复杂场景</w:t>
      </w:r>
    </w:p>
    <w:p>
      <w:pPr>
        <w:widowControl/>
      </w:pPr>
      <w:r>
        <w:t>以下场景继承本模块相应主要疾病的完整知识和文书流程，并按列出的差异补充；不能仅替换病名。</w:t>
      </w:r>
    </w:p>
    <w:p>
      <w:pPr>
        <w:pStyle w:val="Heading2"/>
      </w:pPr>
      <w:r>
        <w:t>初诊哮喘</w:t>
      </w:r>
    </w:p>
    <w:p>
      <w:pPr>
        <w:widowControl/>
      </w:pPr>
      <w:r>
        <w:t>先客观证据再控制评估，既往用药可能降低试验敏感性；不为停药复测影响紧急治疗。</w:t>
      </w:r>
    </w:p>
    <w:p>
      <w:pPr>
        <w:pStyle w:val="Heading2"/>
      </w:pPr>
      <w:r>
        <w:t>重症哮喘与过敏表型</w:t>
      </w:r>
    </w:p>
    <w:p>
      <w:pPr>
        <w:widowControl/>
      </w:pPr>
      <w:r>
        <w:t>重症需回顾优化治疗、依从及并病后仍未控；过敏性需相符敏化和暴露，IgE高不独自选生物制剂。</w:t>
      </w:r>
    </w:p>
    <w:p>
      <w:pPr>
        <w:pStyle w:val="Heading2"/>
      </w:pPr>
      <w:r>
        <w:t>嗜酸相关气道病及CVA</w:t>
      </w:r>
    </w:p>
    <w:p>
      <w:pPr>
        <w:widowControl/>
      </w:pPr>
      <w:r>
        <w:t>嗜酸细胞、诱导痰和FeNO须结合激素时点、可变气流及高反应证据，不能与嗜酸肺炎混同。</w:t>
      </w:r>
    </w:p>
    <w:p>
      <w:pPr>
        <w:pStyle w:val="Heading2"/>
      </w:pPr>
      <w:r>
        <w:t>支扩慢性气道感染与反复感染</w:t>
      </w:r>
    </w:p>
    <w:p>
      <w:pPr>
        <w:widowControl/>
      </w:pPr>
      <w:r>
        <w:t>菌种持续、标本质量和急性临床变化分别记录，既往耐药不推当前药敏，气道清除能力需真实评估。</w:t>
      </w:r>
    </w:p>
    <w:p>
      <w:pPr>
        <w:pStyle w:val="Heading2"/>
      </w:pPr>
      <w:r>
        <w:t>上气道咳嗽综合征与嗜酸支气管炎</w:t>
      </w:r>
    </w:p>
    <w:p>
      <w:pPr>
        <w:widowControl/>
      </w:pPr>
      <w:r>
        <w:t>鼻部证据、咳嗽模式、嗜酸炎症和气流可变性帮助区分，治疗反应有据但不作为万能确诊。</w:t>
      </w:r>
    </w:p>
    <w:p>
      <w:pPr>
        <w:pStyle w:val="Heading2"/>
      </w:pPr>
      <w:r>
        <w:t>其他非感染性气道病</w:t>
      </w:r>
    </w:p>
    <w:p>
      <w:pPr>
        <w:widowControl/>
      </w:pPr>
      <w:r>
        <w:t>闭塞性细支气管炎、气道软化等依特定功能影像或镜检证据，不能以慢性喘息套用同一哮喘模板。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虚构R102/E01，45岁，长期CT证实右下叶支扩，当前痰量从自述20mL/日增至60mL/日并发热。痰铜绿假单胞菌阳性需结合质量和临床；真实咯血量未给不能补写“大咯血”。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常见错误与本模块主要疾病的29项质控共同执行；不得因模板写了常见症状、技术或药物就推定患者实际存在。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联动：03 04分析；05操作；06急变；07治疗；08三级查房；09出院；11状态。最终统一调用10；任一严重错误未解决，不发布受影响净稿。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R05 Global Strategy for Asthma Management and Prevention 2026 update。GINA，2026；2026-05；具体日未从报告封面核实。2026正式策略。来源：https://ginasthma.org/wp-content/uploads/2026/05/GINA-2026-Strategy-Report-WMS.pdf。核验 2026-10-26；官方PDF题名及索引已核验；17MB全文网页读取受限。</w:t>
      </w:r>
    </w:p>
    <w:p>
      <w:pPr>
        <w:pStyle w:val="Source"/>
        <w:widowControl/>
      </w:pPr>
      <w:r>
        <w:t>- R08 中国成人支气管扩张症诊断与治疗专家共识。中华医学会呼吸病学分会感染学组等，2021；2021-04；具体日未核实。已发表共识；不称2026最新版。来源：https://doi.org/10.3760/cma.j.cn112147-20200617-00717。核验 2026-10-26；期刊平台全文题录。</w:t>
      </w:r>
    </w:p>
    <w:p>
      <w:pPr>
        <w:pStyle w:val="Source"/>
        <w:widowControl/>
      </w:pPr>
      <w:r>
        <w:t>- R09 European Respiratory Society clinical practice guideline for the management of adult bronchiectasis。ERS，2025；2025年；正式日未核实。2025正式指南。来源：https://doi.org/10.1183/13993003.01126-2025。核验 2026-10-26；ERS原始指南及2026实施摘要。</w:t>
      </w:r>
    </w:p>
    <w:p>
      <w:pPr>
        <w:pStyle w:val="Source"/>
        <w:widowControl/>
      </w:pPr>
      <w:r>
        <w:t>- R29 ERS ATS technical standard on interpretive strategies for routine lung function tests。ERS ATS，2022发表；2022-07卷期；2021在线，具体日未核实。技术解释标准；不替代各病种诊断标准。来源：https://doi.org/10.1183/13993003.01499-2021。核验 2026-10-26；ERS原始标准。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102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 支气管哮喘支气管扩张及其他慢性气道疾病模板库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