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00</w:t>
        <w:br/>
        <w:t>甲状腺甲旁乳腺</w:t>
        <w:br/>
        <w:t>AI病历系统总入口与模块调用索引</w:t>
      </w:r>
    </w:p>
    <w:p>
      <w:pPr>
        <w:pStyle w:val="Subtitle"/>
      </w:pPr>
      <w:r>
        <w:t>普外科甲状腺甲旁乳腺AI病历系统</w:t>
      </w:r>
    </w:p>
    <w:p>
      <w:r>
        <w:t>版本 V2.0  |  核验日期 2026年10月26日</w:t>
      </w:r>
    </w:p>
    <w:p>
      <w:r>
        <w:t>所属层级 第一级 系统入口与最高规则</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系统身份与建设目标</w:t>
      </w:r>
      <w:r>
        <w:rPr>
          <w:sz w:val="20"/>
        </w:rPr>
        <w:tab/>
        <w:t>4</w:t>
      </w:r>
    </w:p>
    <w:p>
      <w:pPr>
        <w:tabs>
          <w:tab w:pos="9864" w:val="right" w:leader="dot"/>
        </w:tabs>
        <w:spacing w:after="60"/>
      </w:pPr>
      <w:r>
        <w:rPr>
          <w:sz w:val="20"/>
        </w:rPr>
        <w:t>三级架构和模块依赖</w:t>
      </w:r>
      <w:r>
        <w:rPr>
          <w:sz w:val="20"/>
        </w:rPr>
        <w:tab/>
        <w:t>4</w:t>
      </w:r>
    </w:p>
    <w:p>
      <w:pPr>
        <w:tabs>
          <w:tab w:pos="9864" w:val="right" w:leader="dot"/>
        </w:tabs>
        <w:spacing w:after="60"/>
      </w:pPr>
      <w:r>
        <w:rPr>
          <w:sz w:val="20"/>
        </w:rPr>
        <w:t>00 甲状腺甲旁乳腺AI病历系统总入口与模块调用索引</w:t>
      </w:r>
      <w:r>
        <w:rPr>
          <w:sz w:val="20"/>
        </w:rPr>
        <w:tab/>
        <w:t>4</w:t>
      </w:r>
    </w:p>
    <w:p>
      <w:pPr>
        <w:tabs>
          <w:tab w:pos="9864" w:val="right" w:leader="dot"/>
        </w:tabs>
        <w:spacing w:after="60"/>
      </w:pPr>
      <w:r>
        <w:rPr>
          <w:sz w:val="20"/>
        </w:rPr>
        <w:t>01 甲状腺甲旁乳腺病历书写助手最高执行指令</w:t>
      </w:r>
      <w:r>
        <w:rPr>
          <w:sz w:val="20"/>
        </w:rPr>
        <w:tab/>
        <w:t>4</w:t>
      </w:r>
    </w:p>
    <w:p>
      <w:pPr>
        <w:tabs>
          <w:tab w:pos="9864" w:val="right" w:leader="dot"/>
        </w:tabs>
        <w:spacing w:after="60"/>
      </w:pPr>
      <w:r>
        <w:rPr>
          <w:sz w:val="20"/>
        </w:rPr>
        <w:t>02 甲状腺甲旁乳腺基础医学文书与通用病程模板库</w:t>
      </w:r>
      <w:r>
        <w:rPr>
          <w:sz w:val="20"/>
        </w:rPr>
        <w:tab/>
        <w:t>4</w:t>
      </w:r>
    </w:p>
    <w:p>
      <w:pPr>
        <w:tabs>
          <w:tab w:pos="9864" w:val="right" w:leader="dot"/>
        </w:tabs>
        <w:spacing w:after="60"/>
      </w:pPr>
      <w:r>
        <w:rPr>
          <w:sz w:val="20"/>
        </w:rPr>
        <w:t>03 甲状腺甲旁乳腺专科检查与体格检查模板库</w:t>
      </w:r>
      <w:r>
        <w:rPr>
          <w:sz w:val="20"/>
        </w:rPr>
        <w:tab/>
        <w:t>5</w:t>
      </w:r>
    </w:p>
    <w:p>
      <w:pPr>
        <w:tabs>
          <w:tab w:pos="9864" w:val="right" w:leader="dot"/>
        </w:tabs>
        <w:spacing w:after="60"/>
      </w:pPr>
      <w:r>
        <w:rPr>
          <w:sz w:val="20"/>
        </w:rPr>
        <w:t>04 甲状腺甲旁乳腺检验影像病理及特殊检查分析模板库</w:t>
      </w:r>
      <w:r>
        <w:rPr>
          <w:sz w:val="20"/>
        </w:rPr>
        <w:tab/>
        <w:t>5</w:t>
      </w:r>
    </w:p>
    <w:p>
      <w:pPr>
        <w:tabs>
          <w:tab w:pos="9864" w:val="right" w:leader="dot"/>
        </w:tabs>
        <w:spacing w:after="60"/>
      </w:pPr>
      <w:r>
        <w:rPr>
          <w:sz w:val="20"/>
        </w:rPr>
        <w:t>05 甲状腺甲旁乳腺高频术式与围手术期医学文书模板库</w:t>
      </w:r>
      <w:r>
        <w:rPr>
          <w:sz w:val="20"/>
        </w:rPr>
        <w:tab/>
        <w:t>5</w:t>
      </w:r>
    </w:p>
    <w:p>
      <w:pPr>
        <w:tabs>
          <w:tab w:pos="9864" w:val="right" w:leader="dot"/>
        </w:tabs>
        <w:spacing w:after="60"/>
      </w:pPr>
      <w:r>
        <w:rPr>
          <w:sz w:val="20"/>
        </w:rPr>
        <w:t>06 甲状腺甲旁乳腺术后并发症异常病情及危急情况病程模板库</w:t>
      </w:r>
      <w:r>
        <w:rPr>
          <w:sz w:val="20"/>
        </w:rPr>
        <w:tab/>
        <w:t>5</w:t>
      </w:r>
    </w:p>
    <w:p>
      <w:pPr>
        <w:tabs>
          <w:tab w:pos="9864" w:val="right" w:leader="dot"/>
        </w:tabs>
        <w:spacing w:after="60"/>
      </w:pPr>
      <w:r>
        <w:rPr>
          <w:sz w:val="20"/>
        </w:rPr>
        <w:t>07 甲状腺甲旁乳腺治疗决策围手术期用药及医嘱表达规则库</w:t>
      </w:r>
      <w:r>
        <w:rPr>
          <w:sz w:val="20"/>
        </w:rPr>
        <w:tab/>
        <w:t>5</w:t>
      </w:r>
    </w:p>
    <w:p>
      <w:pPr>
        <w:tabs>
          <w:tab w:pos="9864" w:val="right" w:leader="dot"/>
        </w:tabs>
        <w:spacing w:after="60"/>
      </w:pPr>
      <w:r>
        <w:rPr>
          <w:sz w:val="20"/>
        </w:rPr>
        <w:t>08 甲状腺甲旁乳腺三级医师查房决策与层级表达模板库</w:t>
      </w:r>
      <w:r>
        <w:rPr>
          <w:sz w:val="20"/>
        </w:rPr>
        <w:tab/>
        <w:t>6</w:t>
      </w:r>
    </w:p>
    <w:p>
      <w:pPr>
        <w:tabs>
          <w:tab w:pos="9864" w:val="right" w:leader="dot"/>
        </w:tabs>
        <w:spacing w:after="60"/>
      </w:pPr>
      <w:r>
        <w:rPr>
          <w:sz w:val="20"/>
        </w:rPr>
        <w:t>09 甲状腺甲旁乳腺术后恢复功能康复及出院随访模板库</w:t>
      </w:r>
      <w:r>
        <w:rPr>
          <w:sz w:val="20"/>
        </w:rPr>
        <w:tab/>
        <w:t>6</w:t>
      </w:r>
    </w:p>
    <w:p>
      <w:pPr>
        <w:tabs>
          <w:tab w:pos="9864" w:val="right" w:leader="dot"/>
        </w:tabs>
        <w:spacing w:after="60"/>
      </w:pPr>
      <w:r>
        <w:rPr>
          <w:sz w:val="20"/>
        </w:rPr>
        <w:t>10 甲状腺甲旁乳腺病历最终质控诊断修正及时间轴一致性审查库</w:t>
      </w:r>
      <w:r>
        <w:rPr>
          <w:sz w:val="20"/>
        </w:rPr>
        <w:tab/>
        <w:t>6</w:t>
      </w:r>
    </w:p>
    <w:p>
      <w:pPr>
        <w:tabs>
          <w:tab w:pos="9864" w:val="right" w:leader="dot"/>
        </w:tabs>
        <w:spacing w:after="60"/>
      </w:pPr>
      <w:r>
        <w:rPr>
          <w:sz w:val="20"/>
        </w:rPr>
        <w:t>11 甲状腺甲旁乳腺AI自动调用路由与病例状态管理规则库</w:t>
      </w:r>
      <w:r>
        <w:rPr>
          <w:sz w:val="20"/>
        </w:rPr>
        <w:tab/>
        <w:t>6</w:t>
      </w:r>
    </w:p>
    <w:p>
      <w:pPr>
        <w:tabs>
          <w:tab w:pos="9864" w:val="right" w:leader="dot"/>
        </w:tabs>
        <w:spacing w:after="60"/>
      </w:pPr>
      <w:r>
        <w:rPr>
          <w:sz w:val="20"/>
        </w:rPr>
        <w:t>101 甲状腺结节良性疾病及功能异常外科专病模板库</w:t>
      </w:r>
      <w:r>
        <w:rPr>
          <w:sz w:val="20"/>
        </w:rPr>
        <w:tab/>
        <w:t>6</w:t>
      </w:r>
    </w:p>
    <w:p>
      <w:pPr>
        <w:tabs>
          <w:tab w:pos="9864" w:val="right" w:leader="dot"/>
        </w:tabs>
        <w:spacing w:after="60"/>
      </w:pPr>
      <w:r>
        <w:rPr>
          <w:sz w:val="20"/>
        </w:rPr>
        <w:t>102 甲状腺恶性肿瘤及颈部淋巴结疾病专病模板库</w:t>
      </w:r>
      <w:r>
        <w:rPr>
          <w:sz w:val="20"/>
        </w:rPr>
        <w:tab/>
        <w:t>7</w:t>
      </w:r>
    </w:p>
    <w:p>
      <w:pPr>
        <w:tabs>
          <w:tab w:pos="9864" w:val="right" w:leader="dot"/>
        </w:tabs>
        <w:spacing w:after="60"/>
      </w:pPr>
      <w:r>
        <w:rPr>
          <w:sz w:val="20"/>
        </w:rPr>
        <w:t>103 甲状旁腺疾病与钙磷代谢异常外科专病模板库</w:t>
      </w:r>
      <w:r>
        <w:rPr>
          <w:sz w:val="20"/>
        </w:rPr>
        <w:tab/>
        <w:t>7</w:t>
      </w:r>
    </w:p>
    <w:p>
      <w:pPr>
        <w:tabs>
          <w:tab w:pos="9864" w:val="right" w:leader="dot"/>
        </w:tabs>
        <w:spacing w:after="60"/>
      </w:pPr>
      <w:r>
        <w:rPr>
          <w:sz w:val="20"/>
        </w:rPr>
        <w:t>104 复杂甲状腺甲旁腺疾病再次手术与特殊病例模板库</w:t>
      </w:r>
      <w:r>
        <w:rPr>
          <w:sz w:val="20"/>
        </w:rPr>
        <w:tab/>
        <w:t>7</w:t>
      </w:r>
    </w:p>
    <w:p>
      <w:pPr>
        <w:tabs>
          <w:tab w:pos="9864" w:val="right" w:leader="dot"/>
        </w:tabs>
        <w:spacing w:after="60"/>
      </w:pPr>
      <w:r>
        <w:rPr>
          <w:sz w:val="20"/>
        </w:rPr>
        <w:t>105 乳腺良性高危及炎症性疾病专病模板库</w:t>
      </w:r>
      <w:r>
        <w:rPr>
          <w:sz w:val="20"/>
        </w:rPr>
        <w:tab/>
        <w:t>7</w:t>
      </w:r>
    </w:p>
    <w:p>
      <w:pPr>
        <w:tabs>
          <w:tab w:pos="9864" w:val="right" w:leader="dot"/>
        </w:tabs>
        <w:spacing w:after="60"/>
      </w:pPr>
      <w:r>
        <w:rPr>
          <w:sz w:val="20"/>
        </w:rPr>
        <w:t>106 乳腺癌初诊分期手术与腋窝管理专病模板库</w:t>
      </w:r>
      <w:r>
        <w:rPr>
          <w:sz w:val="20"/>
        </w:rPr>
        <w:tab/>
        <w:t>7</w:t>
      </w:r>
    </w:p>
    <w:p>
      <w:pPr>
        <w:tabs>
          <w:tab w:pos="9864" w:val="right" w:leader="dot"/>
        </w:tabs>
        <w:spacing w:after="60"/>
      </w:pPr>
      <w:r>
        <w:rPr>
          <w:sz w:val="20"/>
        </w:rPr>
        <w:t>107 乳腺癌新辅助治疗复发转移与综合治疗衔接模板库</w:t>
      </w:r>
      <w:r>
        <w:rPr>
          <w:sz w:val="20"/>
        </w:rPr>
        <w:tab/>
        <w:t>8</w:t>
      </w:r>
    </w:p>
    <w:p>
      <w:pPr>
        <w:tabs>
          <w:tab w:pos="9864" w:val="right" w:leader="dot"/>
        </w:tabs>
        <w:spacing w:after="60"/>
      </w:pPr>
      <w:r>
        <w:rPr>
          <w:sz w:val="20"/>
        </w:rPr>
        <w:t>108 乳房重建男性乳腺及复杂特殊病例模板库</w:t>
      </w:r>
      <w:r>
        <w:rPr>
          <w:sz w:val="20"/>
        </w:rPr>
        <w:tab/>
        <w:t>8</w:t>
      </w:r>
    </w:p>
    <w:p>
      <w:pPr>
        <w:tabs>
          <w:tab w:pos="9864" w:val="right" w:leader="dot"/>
        </w:tabs>
        <w:spacing w:after="60"/>
      </w:pPr>
      <w:r>
        <w:rPr>
          <w:sz w:val="20"/>
        </w:rPr>
        <w:t>输入解析和当前患者识别</w:t>
      </w:r>
      <w:r>
        <w:rPr>
          <w:sz w:val="20"/>
        </w:rPr>
        <w:tab/>
        <w:t>8</w:t>
      </w:r>
    </w:p>
    <w:p>
      <w:pPr>
        <w:tabs>
          <w:tab w:pos="9864" w:val="right" w:leader="dot"/>
        </w:tabs>
        <w:spacing w:after="60"/>
      </w:pPr>
      <w:r>
        <w:rPr>
          <w:sz w:val="20"/>
        </w:rPr>
        <w:t>病灶和疾病路由</w:t>
      </w:r>
      <w:r>
        <w:rPr>
          <w:sz w:val="20"/>
        </w:rPr>
        <w:tab/>
        <w:t>8</w:t>
      </w:r>
    </w:p>
    <w:p>
      <w:pPr>
        <w:tabs>
          <w:tab w:pos="9864" w:val="right" w:leader="dot"/>
        </w:tabs>
        <w:spacing w:after="60"/>
      </w:pPr>
      <w:r>
        <w:rPr>
          <w:sz w:val="20"/>
        </w:rPr>
        <w:t>甲状腺结节首次病程</w:t>
      </w:r>
      <w:r>
        <w:rPr>
          <w:sz w:val="20"/>
        </w:rPr>
        <w:tab/>
        <w:t>8</w:t>
      </w:r>
    </w:p>
    <w:p>
      <w:pPr>
        <w:tabs>
          <w:tab w:pos="9864" w:val="right" w:leader="dot"/>
        </w:tabs>
        <w:spacing w:after="60"/>
      </w:pPr>
      <w:r>
        <w:rPr>
          <w:sz w:val="20"/>
        </w:rPr>
        <w:t>甲状腺癌术前主任医师查房</w:t>
      </w:r>
      <w:r>
        <w:rPr>
          <w:sz w:val="20"/>
        </w:rPr>
        <w:tab/>
        <w:t>9</w:t>
      </w:r>
    </w:p>
    <w:p>
      <w:pPr>
        <w:tabs>
          <w:tab w:pos="9864" w:val="right" w:leader="dot"/>
        </w:tabs>
        <w:spacing w:after="60"/>
      </w:pPr>
      <w:r>
        <w:rPr>
          <w:sz w:val="20"/>
        </w:rPr>
        <w:t>甲状腺全切术后第一天病程</w:t>
      </w:r>
      <w:r>
        <w:rPr>
          <w:sz w:val="20"/>
        </w:rPr>
        <w:tab/>
        <w:t>9</w:t>
      </w:r>
    </w:p>
    <w:p>
      <w:pPr>
        <w:tabs>
          <w:tab w:pos="9864" w:val="right" w:leader="dot"/>
        </w:tabs>
        <w:spacing w:after="60"/>
      </w:pPr>
      <w:r>
        <w:rPr>
          <w:sz w:val="20"/>
        </w:rPr>
        <w:t>甲状腺术后低钙症状病程</w:t>
      </w:r>
      <w:r>
        <w:rPr>
          <w:sz w:val="20"/>
        </w:rPr>
        <w:tab/>
        <w:t>9</w:t>
      </w:r>
    </w:p>
    <w:p>
      <w:pPr>
        <w:tabs>
          <w:tab w:pos="9864" w:val="right" w:leader="dot"/>
        </w:tabs>
        <w:spacing w:after="60"/>
      </w:pPr>
      <w:r>
        <w:rPr>
          <w:sz w:val="20"/>
        </w:rPr>
        <w:t>甲旁亢术后主任医师查房</w:t>
      </w:r>
      <w:r>
        <w:rPr>
          <w:sz w:val="20"/>
        </w:rPr>
        <w:tab/>
        <w:t>9</w:t>
      </w:r>
    </w:p>
    <w:p>
      <w:pPr>
        <w:tabs>
          <w:tab w:pos="9864" w:val="right" w:leader="dot"/>
        </w:tabs>
        <w:spacing w:after="60"/>
      </w:pPr>
      <w:r>
        <w:rPr>
          <w:sz w:val="20"/>
        </w:rPr>
        <w:t>乳腺肿物首次病程</w:t>
      </w:r>
      <w:r>
        <w:rPr>
          <w:sz w:val="20"/>
        </w:rPr>
        <w:tab/>
        <w:t>9</w:t>
      </w:r>
    </w:p>
    <w:p>
      <w:pPr>
        <w:tabs>
          <w:tab w:pos="9864" w:val="right" w:leader="dot"/>
        </w:tabs>
        <w:spacing w:after="60"/>
      </w:pPr>
      <w:r>
        <w:rPr>
          <w:sz w:val="20"/>
        </w:rPr>
        <w:t>乳腺癌术前讨论</w:t>
      </w:r>
      <w:r>
        <w:rPr>
          <w:sz w:val="20"/>
        </w:rPr>
        <w:tab/>
        <w:t>10</w:t>
      </w:r>
    </w:p>
    <w:p>
      <w:pPr>
        <w:tabs>
          <w:tab w:pos="9864" w:val="right" w:leader="dot"/>
        </w:tabs>
        <w:spacing w:after="60"/>
      </w:pPr>
      <w:r>
        <w:rPr>
          <w:sz w:val="20"/>
        </w:rPr>
        <w:t>乳房切除术后主任医师查房</w:t>
      </w:r>
      <w:r>
        <w:rPr>
          <w:sz w:val="20"/>
        </w:rPr>
        <w:tab/>
        <w:t>10</w:t>
      </w:r>
    </w:p>
    <w:p>
      <w:pPr>
        <w:tabs>
          <w:tab w:pos="9864" w:val="right" w:leader="dot"/>
        </w:tabs>
        <w:spacing w:after="60"/>
      </w:pPr>
      <w:r>
        <w:rPr>
          <w:sz w:val="20"/>
        </w:rPr>
        <w:t>乳腺癌术后病理回报</w:t>
      </w:r>
      <w:r>
        <w:rPr>
          <w:sz w:val="20"/>
        </w:rPr>
        <w:tab/>
        <w:t>10</w:t>
      </w:r>
    </w:p>
    <w:p>
      <w:pPr>
        <w:tabs>
          <w:tab w:pos="9864" w:val="right" w:leader="dot"/>
        </w:tabs>
        <w:spacing w:after="60"/>
      </w:pPr>
      <w:r>
        <w:rPr>
          <w:sz w:val="20"/>
        </w:rPr>
        <w:t>乳腺癌新辅助后拟手术</w:t>
      </w:r>
      <w:r>
        <w:rPr>
          <w:sz w:val="20"/>
        </w:rPr>
        <w:tab/>
        <w:t>10</w:t>
      </w:r>
    </w:p>
    <w:p>
      <w:pPr>
        <w:tabs>
          <w:tab w:pos="9864" w:val="right" w:leader="dot"/>
        </w:tabs>
        <w:spacing w:after="60"/>
      </w:pPr>
      <w:r>
        <w:rPr>
          <w:sz w:val="20"/>
        </w:rPr>
        <w:t>多次手术和术后阶段</w:t>
      </w:r>
      <w:r>
        <w:rPr>
          <w:sz w:val="20"/>
        </w:rPr>
        <w:tab/>
        <w:t>10</w:t>
      </w:r>
    </w:p>
    <w:p>
      <w:pPr>
        <w:tabs>
          <w:tab w:pos="9864" w:val="right" w:leader="dot"/>
        </w:tabs>
        <w:spacing w:after="60"/>
      </w:pPr>
      <w:r>
        <w:rPr>
          <w:sz w:val="20"/>
        </w:rPr>
        <w:t>规则优先级和诊断修正</w:t>
      </w:r>
      <w:r>
        <w:rPr>
          <w:sz w:val="20"/>
        </w:rPr>
        <w:tab/>
        <w:t>11</w:t>
      </w:r>
    </w:p>
    <w:p>
      <w:pPr>
        <w:tabs>
          <w:tab w:pos="9864" w:val="right" w:leader="dot"/>
        </w:tabs>
        <w:spacing w:after="60"/>
      </w:pPr>
      <w:r>
        <w:rPr>
          <w:sz w:val="20"/>
        </w:rPr>
        <w:t>最终质控和交付路径</w:t>
      </w:r>
      <w:r>
        <w:rPr>
          <w:sz w:val="20"/>
        </w:rPr>
        <w:tab/>
        <w:t>11</w:t>
      </w:r>
    </w:p>
    <w:p>
      <w:pPr>
        <w:tabs>
          <w:tab w:pos="9864" w:val="right" w:leader="dot"/>
        </w:tabs>
        <w:spacing w:after="60"/>
      </w:pPr>
      <w:r>
        <w:rPr>
          <w:sz w:val="20"/>
        </w:rPr>
        <w:t>正式输出格式强制规范</w:t>
      </w:r>
      <w:r>
        <w:rPr>
          <w:sz w:val="20"/>
        </w:rPr>
        <w:tab/>
        <w:t>11</w:t>
      </w:r>
    </w:p>
    <w:p>
      <w:pPr>
        <w:tabs>
          <w:tab w:pos="9864" w:val="right" w:leader="dot"/>
        </w:tabs>
        <w:spacing w:after="60"/>
      </w:pPr>
      <w:r>
        <w:rPr>
          <w:sz w:val="20"/>
        </w:rPr>
        <w:t>真实性限制和常见错误</w:t>
      </w:r>
      <w:r>
        <w:rPr>
          <w:sz w:val="20"/>
        </w:rPr>
        <w:tab/>
        <w:t>11</w:t>
      </w:r>
    </w:p>
    <w:p>
      <w:pPr>
        <w:tabs>
          <w:tab w:pos="9864" w:val="right" w:leader="dot"/>
        </w:tabs>
        <w:spacing w:after="60"/>
      </w:pPr>
      <w:r>
        <w:rPr>
          <w:sz w:val="20"/>
        </w:rPr>
        <w:t>模块联动和质量控制清单</w:t>
      </w:r>
      <w:r>
        <w:rPr>
          <w:sz w:val="20"/>
        </w:rPr>
        <w:tab/>
        <w:t>12</w:t>
      </w:r>
    </w:p>
    <w:p>
      <w:pPr>
        <w:tabs>
          <w:tab w:pos="9864" w:val="right" w:leader="dot"/>
        </w:tabs>
        <w:spacing w:after="60"/>
      </w:pPr>
      <w:r>
        <w:rPr>
          <w:sz w:val="20"/>
        </w:rPr>
        <w:t>指南版本与修订说明</w:t>
      </w:r>
      <w:r>
        <w:rPr>
          <w:sz w:val="20"/>
        </w:rPr>
        <w:tab/>
        <w:t>12</w:t>
      </w:r>
    </w:p>
    <w:p>
      <w:pPr>
        <w:tabs>
          <w:tab w:pos="9864" w:val="right" w:leader="dot"/>
        </w:tabs>
        <w:spacing w:after="60"/>
      </w:pPr>
      <w:r>
        <w:rPr>
          <w:sz w:val="20"/>
        </w:rPr>
        <w:t>分期类别与源证据复核</w:t>
      </w:r>
      <w:r>
        <w:rPr>
          <w:sz w:val="20"/>
        </w:rPr>
        <w:tab/>
        <w:t>12</w:t>
      </w:r>
    </w:p>
    <w:p>
      <w:pPr>
        <w:tabs>
          <w:tab w:pos="9864" w:val="right" w:leader="dot"/>
        </w:tabs>
      </w:pPr>
      <w:r>
        <w:t>典型虚构病例示例</w:t>
      </w:r>
      <w:r>
        <w:rPr>
          <w:sz w:val="20"/>
        </w:rPr>
        <w:tab/>
        <w:t>12</w:t>
      </w:r>
    </w:p>
    <w:p>
      <w:pPr>
        <w:tabs>
          <w:tab w:pos="9864" w:val="right" w:leader="dot"/>
        </w:tabs>
      </w:pPr>
      <w:r>
        <w:t>参考来源与维护</w:t>
      </w:r>
      <w:r>
        <w:fldChar w:fldCharType="end"/>
      </w:r>
      <w:r>
        <w:rPr>
          <w:sz w:val="20"/>
        </w:rPr>
        <w:tab/>
        <w:t>13</w:t>
      </w:r>
    </w:p>
    <w:p>
      <w:r>
        <w:br w:type="page"/>
      </w:r>
    </w:p>
    <w:p>
      <w:pPr>
        <w:pStyle w:val="Heading1"/>
      </w:pPr>
      <w:r>
        <w:t>系统身份与建设目标</w:t>
      </w:r>
    </w:p>
    <w:p>
      <w:r>
        <w:t>本系统用于中国医院甲状腺、甲状旁腺与乳腺外科真实病例的医学文书辅助整理。以证据归属、患者隔离、治疗状态、事件时间和医师实际意见为基础，支持入院至随访全过程。系统不代替查体、诊断确认、手术决定、处方、沟通或签名。核心交付为20个模块Word及本目录SKILL入口；这是可调用文书知识系统，不是已接入医院HIS的自动处方或自动签署软件。</w:t>
      </w:r>
    </w:p>
    <w:p>
      <w:pPr>
        <w:pStyle w:val="Heading1"/>
      </w:pPr>
      <w:r>
        <w:t>三级架构和模块依赖</w:t>
      </w:r>
    </w:p>
    <w:p>
      <w:r>
        <w:t>第一级00导航、01最高执行规则；第二级02—11为功能模块；第三级101—108为专病模块。01约束全部模块，11负责状态与调用，02提供文书骨架，专病模块提供特异证据，03—09按任务补充，10必须最后执行。00不取代01，10发现错误时返回对应模块修正，禁止绕过质控直接输出。</w:t>
      </w:r>
    </w:p>
    <w:p>
      <w:pPr>
        <w:pStyle w:val="Heading1"/>
      </w:pPr>
      <w:r>
        <w:t>00 甲状腺甲旁乳腺AI病历系统总入口与模块调用索引</w:t>
      </w:r>
    </w:p>
    <w:p>
      <w:r>
        <w:t>导航、规则优先级及加载顺序。调用条件：启动和检索模块时。依赖：01、11；功能和专病按需；10最终审查。文件路径：00_甲状腺甲旁乳腺AI病历系统总入口与模块调用索引/00_甲状腺甲旁乳腺AI病历系统总入口与模块调用索引.docx。</w:t>
      </w:r>
    </w:p>
    <w:p>
      <w:pPr>
        <w:pStyle w:val="Heading1"/>
      </w:pPr>
      <w:r>
        <w:t>01 甲状腺甲旁乳腺病历书写助手最高执行指令</w:t>
      </w:r>
    </w:p>
    <w:p>
      <w:r>
        <w:t>真实性、证据、状态和正文格式的最高约束。调用条件：每次正式文书。依赖：遵循01、11状态解析、10最终审查的闭环；自身职责不可由其他模块覆盖。文件路径：01_甲状腺甲旁乳腺病历书写助手最高执行指令/01_甲状腺甲旁乳腺病历书写助手最高执行指令.docx。</w:t>
      </w:r>
    </w:p>
    <w:p>
      <w:pPr>
        <w:pStyle w:val="Heading1"/>
      </w:pPr>
      <w:r>
        <w:t>02 甲状腺甲旁乳腺基础医学文书与通用病程模板库</w:t>
      </w:r>
    </w:p>
    <w:p>
      <w:r>
        <w:t>34类基础医学文书结构及限制。调用条件：用户指定文书类型后。依赖：01、11；功能和专病按需；10最终审查。文件路径：02_甲状腺甲旁乳腺基础医学文书与通用病程模板库/02_甲状腺甲旁乳腺基础医学文书与通用病程模板库.docx。</w:t>
      </w:r>
    </w:p>
    <w:p>
      <w:pPr>
        <w:pStyle w:val="Heading1"/>
      </w:pPr>
      <w:r>
        <w:t>03 甲状腺甲旁乳腺专科检查与体格检查模板库</w:t>
      </w:r>
    </w:p>
    <w:p>
      <w:r>
        <w:t>颈部、甲旁腺相关、乳腺和术后专科实查。调用条件：有实际查体或需补采检查。依赖：01、11；功能和专病按需；10最终审查。文件路径：03_甲状腺甲旁乳腺专科检查与体格检查模板库/03_甲状腺甲旁乳腺专科检查与体格检查模板库.docx。</w:t>
      </w:r>
    </w:p>
    <w:p>
      <w:pPr>
        <w:pStyle w:val="Heading1"/>
      </w:pPr>
      <w:r>
        <w:t>04 甲状腺甲旁乳腺检验影像病理及特殊检查分析模板库</w:t>
      </w:r>
    </w:p>
    <w:p>
      <w:r>
        <w:t>原始报告与综合分析分离，检查归属及病理层级。调用条件：出现检验、影像、细胞学、病理。依赖：01、11；功能和专病按需；10最终审查。文件路径：04_甲状腺甲旁乳腺检验影像病理及特殊检查分析模板库/04_甲状腺甲旁乳腺检验影像病理及特殊检查分析模板库.docx。</w:t>
      </w:r>
    </w:p>
    <w:p>
      <w:pPr>
        <w:pStyle w:val="Heading1"/>
      </w:pPr>
      <w:r>
        <w:t>05 甲状腺甲旁乳腺高频术式与围手术期医学文书模板库</w:t>
      </w:r>
    </w:p>
    <w:p>
      <w:r>
        <w:t>30种术式及围手术期文书。调用条件：拟手术、已手术或再次手术。依赖：01、11；功能和专病按需；10最终审查。文件路径：05_甲状腺甲旁乳腺高频术式与围手术期医学文书模板库/05_甲状腺甲旁乳腺高频术式与围手术期医学文书模板库.docx。</w:t>
      </w:r>
    </w:p>
    <w:p>
      <w:pPr>
        <w:pStyle w:val="Heading1"/>
      </w:pPr>
      <w:r>
        <w:t>06 甲状腺甲旁乳腺术后并发症异常病情及危急情况病程模板库</w:t>
      </w:r>
    </w:p>
    <w:p>
      <w:r>
        <w:t>异常表现、并发症证据与急危重记录。调用条件：发生异常或重大危险信号。依赖：01、11；功能和专病按需；10最终审查。文件路径：06_甲状腺甲旁乳腺术后并发症异常病情及危急情况病程模板库/06_甲状腺甲旁乳腺术后并发症异常病情及危急情况病程模板库.docx。</w:t>
      </w:r>
    </w:p>
    <w:p>
      <w:pPr>
        <w:pStyle w:val="Heading1"/>
      </w:pPr>
      <w:r>
        <w:t>07 甲状腺甲旁乳腺治疗决策围手术期用药及医嘱表达规则库</w:t>
      </w:r>
    </w:p>
    <w:p>
      <w:r>
        <w:t>治疗建议、计划、医嘱和执行的区分。调用条件：用药、VTE、治疗调整与衔接。依赖：01、11；功能和专病按需；10最终审查。文件路径：07_甲状腺甲旁乳腺治疗决策围手术期用药及医嘱表达规则库/07_甲状腺甲旁乳腺治疗决策围手术期用药及医嘱表达规则库.docx。</w:t>
      </w:r>
    </w:p>
    <w:p>
      <w:pPr>
        <w:pStyle w:val="Heading1"/>
      </w:pPr>
      <w:r>
        <w:t>08 甲状腺甲旁乳腺三级医师查房决策与层级表达模板库</w:t>
      </w:r>
    </w:p>
    <w:p>
      <w:r>
        <w:t>16场景的三级医师判断差异。调用条件：主治、副主任或主任查房。依赖：01、11；功能和专病按需；10最终审查。文件路径：08_甲状腺甲旁乳腺三级医师查房决策与层级表达模板库/08_甲状腺甲旁乳腺三级医师查房决策与层级表达模板库.docx。</w:t>
      </w:r>
    </w:p>
    <w:p>
      <w:pPr>
        <w:pStyle w:val="Heading1"/>
      </w:pPr>
      <w:r>
        <w:t>09 甲状腺甲旁乳腺术后恢复功能康复及出院随访模板库</w:t>
      </w:r>
    </w:p>
    <w:p>
      <w:r>
        <w:t>功能恢复、出院核对、肿瘤随访。调用条件：术后恢复、出院或随访。依赖：01、11；功能和专病按需；10最终审查。文件路径：09_甲状腺甲旁乳腺术后恢复功能康复及出院随访模板库/09_甲状腺甲旁乳腺术后恢复功能康复及出院随访模板库.docx。</w:t>
      </w:r>
    </w:p>
    <w:p>
      <w:pPr>
        <w:pStyle w:val="Heading1"/>
      </w:pPr>
      <w:r>
        <w:t>10 甲状腺甲旁乳腺病历最终质控诊断修正及时间轴一致性审查库</w:t>
      </w:r>
    </w:p>
    <w:p>
      <w:r>
        <w:t>33项质控、诊断修正、时间轴和格式检查。调用条件：全部正式输出前。依赖：遵循01、11状态解析、10最终审查的闭环；自身职责不可由其他模块覆盖。文件路径：10_甲状腺甲旁乳腺病历最终质控诊断修正及时间轴一致性审查库/10_甲状腺甲旁乳腺病历最终质控诊断修正及时间轴一致性审查库.docx。</w:t>
      </w:r>
    </w:p>
    <w:p>
      <w:pPr>
        <w:pStyle w:val="Heading1"/>
      </w:pPr>
      <w:r>
        <w:t>11 甲状腺甲旁乳腺AI自动调用路由与病例状态管理规则库</w:t>
      </w:r>
    </w:p>
    <w:p>
      <w:r>
        <w:t>患者与住院隔离、病灶和手术事件状态。调用条件：每次读取或更新病例。依赖：遵循01、11状态解析、10最终审查的闭环；自身职责不可由其他模块覆盖。文件路径：11_甲状腺甲旁乳腺AI自动调用路由与病例状态管理规则库/11_甲状腺甲旁乳腺AI自动调用路由与病例状态管理规则库.docx。</w:t>
      </w:r>
    </w:p>
    <w:p>
      <w:pPr>
        <w:pStyle w:val="Heading1"/>
      </w:pPr>
      <w:r>
        <w:t>101 甲状腺结节良性疾病及功能异常外科专病模板库</w:t>
      </w:r>
    </w:p>
    <w:p>
      <w:r>
        <w:t>良性结节、甲状腺肿及功能异常。调用条件：结节良性或性质未定、炎症、Graves或压迫。依赖：01、11；功能和专病按需；10最终审查。文件路径：101_甲状腺结节良性疾病及功能异常外科专病模板库/101_甲状腺结节良性疾病及功能异常外科专病模板库.docx。</w:t>
      </w:r>
    </w:p>
    <w:p>
      <w:pPr>
        <w:pStyle w:val="Heading1"/>
      </w:pPr>
      <w:r>
        <w:t>102 甲状腺恶性肿瘤及颈部淋巴结疾病专病模板库</w:t>
      </w:r>
    </w:p>
    <w:p>
      <w:r>
        <w:t>不同甲状腺恶性类型、淋巴结、分期及随访。调用条件：甲状腺恶性待查或已有恶性证据。依赖：01、11；功能和专病按需；10最终审查。文件路径：102_甲状腺恶性肿瘤及颈部淋巴结疾病专病模板库/102_甲状腺恶性肿瘤及颈部淋巴结疾病专病模板库.docx。</w:t>
      </w:r>
    </w:p>
    <w:p>
      <w:pPr>
        <w:pStyle w:val="Heading1"/>
      </w:pPr>
      <w:r>
        <w:t>103 甲状旁腺疾病与钙磷代谢异常外科专病模板库</w:t>
      </w:r>
    </w:p>
    <w:p>
      <w:r>
        <w:t>生化甲旁亢、定位、手术和钙磷代谢。调用条件：PTH/钙磷异常或甲旁腺病变。依赖：01、11；功能和专病按需；10最终审查。文件路径：103_甲状旁腺疾病与钙磷代谢异常外科专病模板库/103_甲状旁腺疾病与钙磷代谢异常外科专病模板库.docx。</w:t>
      </w:r>
    </w:p>
    <w:p>
      <w:pPr>
        <w:pStyle w:val="Heading1"/>
      </w:pPr>
      <w:r>
        <w:t>104 复杂甲状腺甲旁腺疾病再次手术与特殊病例模板库</w:t>
      </w:r>
    </w:p>
    <w:p>
      <w:r>
        <w:t>再次颈部手术、气道与神经风险、多腺体和MDT。调用条件：复杂、既往手术、异位或联合病变。依赖：01、11；功能和专病按需；10最终审查。文件路径：104_复杂甲状腺甲旁腺疾病再次手术与特殊病例模板库/104_复杂甲状腺甲旁腺疾病再次手术与特殊病例模板库.docx。</w:t>
      </w:r>
    </w:p>
    <w:p>
      <w:pPr>
        <w:pStyle w:val="Heading1"/>
      </w:pPr>
      <w:r>
        <w:t>105 乳腺良性高危及炎症性疾病专病模板库</w:t>
      </w:r>
    </w:p>
    <w:p>
      <w:r>
        <w:t>乳腺良性、高危和炎症性病变。调用条件：良性、高危、溢液、炎症、脓肿。依赖：01、11；功能和专病按需；10最终审查。文件路径：105_乳腺良性高危及炎症性疾病专病模板库/105_乳腺良性高危及炎症性疾病专病模板库.docx。</w:t>
      </w:r>
    </w:p>
    <w:p>
      <w:pPr>
        <w:pStyle w:val="Heading1"/>
      </w:pPr>
      <w:r>
        <w:t>106 乳腺癌初诊分期手术与腋窝管理专病模板库</w:t>
      </w:r>
    </w:p>
    <w:p>
      <w:r>
        <w:t>初诊乳腺癌、分期、切缘和腋窝。调用条件：原位或浸润癌初始外科诊疗。依赖：01、11；功能和专病按需；10最终审查。文件路径：106_乳腺癌初诊分期手术与腋窝管理专病模板库/106_乳腺癌初诊分期手术与腋窝管理专病模板库.docx。</w:t>
      </w:r>
    </w:p>
    <w:p>
      <w:pPr>
        <w:pStyle w:val="Heading1"/>
      </w:pPr>
      <w:r>
        <w:t>107 乳腺癌新辅助治疗复发转移与综合治疗衔接模板库</w:t>
      </w:r>
    </w:p>
    <w:p>
      <w:r>
        <w:t>新辅助、复发转移和综合治疗衔接。调用条件：治疗前后评估、复发或系统治疗。依赖：01、11；功能和专病按需；10最终审查。文件路径：107_乳腺癌新辅助治疗复发转移与综合治疗衔接模板库/107_乳腺癌新辅助治疗复发转移与综合治疗衔接模板库.docx。</w:t>
      </w:r>
    </w:p>
    <w:p>
      <w:pPr>
        <w:pStyle w:val="Heading1"/>
      </w:pPr>
      <w:r>
        <w:t>108 乳房重建男性乳腺及复杂特殊病例模板库</w:t>
      </w:r>
    </w:p>
    <w:p>
      <w:r>
        <w:t>重建、男性、孕哺乳、遗传及复杂多病灶。调用条件：特殊人群、重建、双侧或复杂功能问题。依赖：01、11；功能和专病按需；10最终审查。文件路径：108_乳房重建男性乳腺及复杂特殊病例模板库/108_乳房重建男性乳腺及复杂特殊病例模板库.docx。</w:t>
      </w:r>
    </w:p>
    <w:p>
      <w:pPr>
        <w:pStyle w:val="Heading1"/>
      </w:pPr>
      <w:r>
        <w:t>输入解析和当前患者识别</w:t>
      </w:r>
    </w:p>
    <w:p>
      <w:r>
        <w:t>从自然语言、截图或文件提取请求的文书类型、记录时间、医师层级、住院号、患者标识、专科、病灶编号、手术事件和资料来源。病例键采用patient_id与encounter_id，优先核对住院号等可靠标识并结合姓名等信息，不能以同名、同批上传或叙述连续性替代身份核实。切换患者先清空活动病历上下文；不同住院事件可引用历史但必须标明历史日期。仅匿名资料时使用用户明确分配的病例代号，不要求公开无关个人信息。</w:t>
      </w:r>
    </w:p>
    <w:p>
      <w:pPr>
        <w:pStyle w:val="Heading1"/>
      </w:pPr>
      <w:r>
        <w:t>病灶和疾病路由</w:t>
      </w:r>
    </w:p>
    <w:p>
      <w:r>
        <w:t>甲状腺结节按左右叶、峡部、上下极及病灶编号分别管理；乳腺按左右侧、象限、钟点、距乳头距离及编号归属。位置不清不强配穿刺。证据仅支持影像风险时调用101或105并保留待查；病理已证实时转102或106。甲旁亢的生化问题调用103，复杂颈部增加104；新辅助前后乳腺增加107；重建和男性或双侧增加108。多病灶只合并共性病史，不合并病理及免疫组化。</w:t>
      </w:r>
    </w:p>
    <w:p>
      <w:pPr>
        <w:pStyle w:val="Heading1"/>
      </w:pPr>
      <w:r>
        <w:t>甲状腺结节首次病程</w:t>
      </w:r>
    </w:p>
    <w:p>
      <w:r>
        <w:t>调用：01＋11＋02＋03＋04＋101＋10。有当日检查解释增加04；有急危症增加06并优先提示临床处置；有复杂解剖或多病灶仅增加相应专病。没有实际上级查房意见时只能形成待审核分析，不冒称真实意见。</w:t>
      </w:r>
    </w:p>
    <w:p>
      <w:pPr>
        <w:pStyle w:val="Heading1"/>
      </w:pPr>
      <w:r>
        <w:t>甲状腺癌术前主任医师查房</w:t>
      </w:r>
    </w:p>
    <w:p>
      <w:r>
        <w:t>调用：01＋11＋02＋05＋08＋102＋10。有当日检查解释增加04；有急危症增加06并优先提示临床处置；有复杂解剖或多病灶仅增加相应专病。没有实际上级查房意见时只能形成待审核分析，不冒称真实意见。</w:t>
      </w:r>
    </w:p>
    <w:p>
      <w:pPr>
        <w:pStyle w:val="Heading1"/>
      </w:pPr>
      <w:r>
        <w:t>甲状腺全切术后第一天病程</w:t>
      </w:r>
    </w:p>
    <w:p>
      <w:r>
        <w:t>调用：01＋11＋02＋05＋07＋09＋按已知病因选择101或102＋10。全切并不等于恶性；良性全切改用101，甲旁腺相关按病因用103。有当日检查解释增加04；有急危症增加06并优先提示临床处置；有复杂解剖或多病灶仅增加相应专病。没有实际上级查房意见时只能形成待审核分析，不冒称真实意见。</w:t>
      </w:r>
    </w:p>
    <w:p>
      <w:pPr>
        <w:pStyle w:val="Heading1"/>
      </w:pPr>
      <w:r>
        <w:t>甲状腺术后低钙症状病程</w:t>
      </w:r>
    </w:p>
    <w:p>
      <w:r>
        <w:t>调用：01＋11＋02＋04＋06＋原甲状腺专病101或102，按需103补钙磷分析＋10。有当日检查解释增加04；有急危症增加06并优先提示临床处置；有复杂解剖或多病灶仅增加相应专病。没有实际上级查房意见时只能形成待审核分析，不冒称真实意见。</w:t>
      </w:r>
    </w:p>
    <w:p>
      <w:pPr>
        <w:pStyle w:val="Heading1"/>
      </w:pPr>
      <w:r>
        <w:t>甲旁亢术后主任医师查房</w:t>
      </w:r>
    </w:p>
    <w:p>
      <w:r>
        <w:t>调用：01＋11＋02＋04＋08＋103＋10。有当日检查解释增加04；有急危症增加06并优先提示临床处置；有复杂解剖或多病灶仅增加相应专病。没有实际上级查房意见时只能形成待审核分析，不冒称真实意见。</w:t>
      </w:r>
    </w:p>
    <w:p>
      <w:pPr>
        <w:pStyle w:val="Heading1"/>
      </w:pPr>
      <w:r>
        <w:t>乳腺肿物首次病程</w:t>
      </w:r>
    </w:p>
    <w:p>
      <w:r>
        <w:t>调用：01＋11＋02＋03＋04＋105＋10。有当日检查解释增加04；有急危症增加06并优先提示临床处置；有复杂解剖或多病灶仅增加相应专病。没有实际上级查房意见时只能形成待审核分析，不冒称真实意见。</w:t>
      </w:r>
    </w:p>
    <w:p>
      <w:pPr>
        <w:pStyle w:val="Heading1"/>
      </w:pPr>
      <w:r>
        <w:t>乳腺癌术前讨论</w:t>
      </w:r>
    </w:p>
    <w:p>
      <w:r>
        <w:t>调用：01＋11＋02＋04＋05＋106＋10。有当日检查解释增加04；有急危症增加06并优先提示临床处置；有复杂解剖或多病灶仅增加相应专病。没有实际上级查房意见时只能形成待审核分析，不冒称真实意见。</w:t>
      </w:r>
    </w:p>
    <w:p>
      <w:pPr>
        <w:pStyle w:val="Heading1"/>
      </w:pPr>
      <w:r>
        <w:t>乳房切除术后主任医师查房</w:t>
      </w:r>
    </w:p>
    <w:p>
      <w:r>
        <w:t>调用：01＋11＋02＋05＋08＋106＋10。有当日检查解释增加04；有急危症增加06并优先提示临床处置；有复杂解剖或多病灶仅增加相应专病。没有实际上级查房意见时只能形成待审核分析，不冒称真实意见。</w:t>
      </w:r>
    </w:p>
    <w:p>
      <w:pPr>
        <w:pStyle w:val="Heading1"/>
      </w:pPr>
      <w:r>
        <w:t>乳腺癌术后病理回报</w:t>
      </w:r>
    </w:p>
    <w:p>
      <w:r>
        <w:t>调用：01＋11＋02＋04＋106＋10。有当日检查解释增加04；有急危症增加06并优先提示临床处置；有复杂解剖或多病灶仅增加相应专病。没有实际上级查房意见时只能形成待审核分析，不冒称真实意见。只有实际请求并有上级查房事实时才增加08，一般病理回报日常病程不模拟查房。</w:t>
      </w:r>
    </w:p>
    <w:p>
      <w:pPr>
        <w:pStyle w:val="Heading1"/>
      </w:pPr>
      <w:r>
        <w:t>乳腺癌新辅助后拟手术</w:t>
      </w:r>
    </w:p>
    <w:p>
      <w:r>
        <w:t>调用：01＋11＋02＋05＋07＋107＋10。有当日检查解释增加04；有急危症增加06并优先提示临床处置；有复杂解剖或多病灶仅增加相应专病。没有实际上级查房意见时只能形成待审核分析，不冒称真实意见。</w:t>
      </w:r>
    </w:p>
    <w:p>
      <w:pPr>
        <w:pStyle w:val="Heading1"/>
      </w:pPr>
      <w:r>
        <w:t>多次手术和术后阶段</w:t>
      </w:r>
    </w:p>
    <w:p>
      <w:r>
        <w:t>每次手术分配operation_id，保存计划和实际名称、侧别、日期、范围及来源。补全切除、再次止血、乳腺二次切缘和重建分别建事件，当前术后日数必须明确相对哪次手术。以本地日历日计算术日为0，次日为1；不能用满24小时替代日历日。日期不完整或与口述日数冲突先核对。</w:t>
      </w:r>
    </w:p>
    <w:p>
      <w:pPr>
        <w:pStyle w:val="Heading1"/>
      </w:pPr>
      <w:r>
        <w:t>规则优先级和诊断修正</w:t>
      </w:r>
    </w:p>
    <w:p>
      <w:r>
        <w:t>患者事实和来源核实是先决条件，用户明确更正须留痕并核对被更正的来源；01高于其他模块。正式病理能修正同一标本对应病灶的性质，但不能改变已发生的术前记录或覆盖另一病灶。实际术式取代计划作为术后叙述，不抹去计划改变的历史。当前医嘱状态按时间生效。模板和指南均不得制造患者事实。</w:t>
      </w:r>
    </w:p>
    <w:p>
      <w:pPr>
        <w:pStyle w:val="Heading1"/>
      </w:pPr>
      <w:r>
        <w:t>最终质控和交付路径</w:t>
      </w:r>
    </w:p>
    <w:p>
      <w:r>
        <w:t>草稿先检查身份、病灶和时间，再检查证据强度、手术及医嘱状态，最后检查文书格式。严重或重要关键冲突只输出框外核实事项；无关键冲突且缺失不影响本次任务时可省略未知项并在框外提示补采，不得把不完整入院资料宣称为已完成法定全项病历。见10。</w:t>
      </w:r>
    </w:p>
    <w:p>
      <w:pPr>
        <w:pStyle w:val="Heading1"/>
      </w:pPr>
      <w:r>
        <w:t>正式输出格式强制规范</w:t>
      </w:r>
    </w:p>
    <w:p>
      <w:r>
        <w:t>正式医学文书必须使用Markdown text代码框。文书日期、记录时间、文书标题均在代码框外；“某某主治医师查房记录”“某某副主任医师查房记录”“某某主任医师查房记录”等标题不得入框。框内仅为可复制至电子病历正文栏的医学正文，不放前言、解释、备注、待核实问题、AI痕迹或文书标题。日常病程和三级医师查房均连续完整一整段，不留空行，不人为增加空格，不为整段而删必要信息。入院、首次病程、术前小结、出院记录等按规范保留栏目。正式正文不得残留模板槽位、双选词或默认阴性体征。关键事实冲突须在框外核实，并阻断受影响净稿。正文中具有医学意义的事件日期、手术日期、采样时间、给药时间和抢救逐项时刻仍应保留；“日期在框外”只约束文书记录时间行，不能删除病程时间轴。模板仅是结构，不是事实。</w:t>
      </w:r>
    </w:p>
    <w:p>
      <w:pPr>
        <w:pStyle w:val="Heading1"/>
      </w:pPr>
      <w:r>
        <w:t>真实性限制和常见错误</w:t>
      </w:r>
    </w:p>
    <w:p>
      <w:r>
        <w:t>只执行01确认的事实来源规则。无来源的正常结果、已完成处置、查房意见及沟通均不可入稿。模板槽位不代表患者事实；本模块虚构示例只供测试，不是临床资料。影像分级与病理确诊、计划与执行、不同病灶及不同患者分别隔离。</w:t>
      </w:r>
    </w:p>
    <w:p>
      <w:pPr>
        <w:pStyle w:val="Heading1"/>
      </w:pPr>
      <w:r>
        <w:t>模块联动和质量控制清单</w:t>
      </w:r>
    </w:p>
    <w:p>
      <w:r>
        <w:t>入口00；最高规则01；状态11；骨架02；实查03；检查04；手术05；异常06；治疗07；查房08；恢复09；专病101—108；最终10。核对来源、患者、部位、时点、证据与状态后再输出。每次只加载任务需要的模块；最新医学知识不能覆盖真实临床记录。</w:t>
      </w:r>
    </w:p>
    <w:p>
      <w:pPr>
        <w:pStyle w:val="Heading1"/>
      </w:pPr>
      <w:r>
        <w:t>指南版本与修订说明</w:t>
      </w:r>
    </w:p>
    <w:p>
      <w:r>
        <w:t>V2.0，建设核验日期2026年10月26日。通用规范来源见本文件文末。中国2023甲状腺第二版与ATA2025 DTC适用范围不同；不将DTC规则外推髓样和未分化癌。ACR BI-RADS v2025已发布，患者原报告版本原样保留。AJCC官方2026适用表中本项目甲状腺、甲旁腺、乳腺仍为8版；不据此自动为患者分期。CSCO和受限手册若未获得官方全文，不写具体推荐号、证据等级或剂量。</w:t>
      </w:r>
    </w:p>
    <w:p>
      <w:pPr>
        <w:pStyle w:val="Heading1"/>
      </w:pPr>
      <w:r>
        <w:t>分期类别与源证据复核</w:t>
      </w:r>
    </w:p>
    <w:p>
      <w:r>
        <w:t>远处转移临床评价和组织学确认的M类别分开。没有证据不能默认cM0，病理分期不可生成pM0；仅按适用手册及真实证据使用病理M类别。新辅助后的ypT/ypN不替代初始cT/cN，不能以影像完全缓解推断病理完全缓解。</w:t>
      </w:r>
    </w:p>
    <w:p>
      <w:pPr>
        <w:pStyle w:val="Heading1"/>
      </w:pPr>
      <w:r>
        <w:t>典型虚构病例示例</w:t>
      </w:r>
    </w:p>
    <w:p>
      <w:r>
        <w:t>以下内容为虚构演练，不得作为真实患者资料，也不得将其中的检查、手术或医师意见迁移至实际病例。</w:t>
      </w:r>
    </w:p>
    <w:p>
      <w:r>
        <w:t>2026年10月26日 09:00 日常病程记录</w:t>
      </w:r>
    </w:p>
    <w:p>
      <w:r>
        <w:t>```text</w:t>
      </w:r>
    </w:p>
    <w:p>
      <w:r>
        <w:t>患者因右侧甲状腺结节入院。10月24日超声报告示右叶中部结节12mm×8mm，C-TIRADS 4A类；10月25日已行该结节细针穿刺，细胞学结果尚未回报。目前病变性质待进一步明确，不能仅依据超声风险分级诊断甲状腺恶性肿瘤，后续结合穿刺结果完善诊疗评估。</w:t>
      </w:r>
    </w:p>
    <w:p>
      <w:r>
        <w:t>```</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甲状腺结节和分化型甲状腺癌诊治指南（第二版）。中华医学会等，2023，中华内分泌代谢杂志39卷3期。适用边界：甲状腺结节与分化型癌；不能外推髓样、未分化癌；核验原始PDF题录。来源：https://chinanm.cma.org.cn/attach/0/d7217f6afb97410892c94e12e8767673.pdf</w:t>
      </w:r>
    </w:p>
    <w:p>
      <w:r>
        <w:t>2025 ATA成人分化型甲状腺癌管理指南。American Thyroid Association，2025，DOI 10.1177/10507256251363120。适用边界：成人分化型甲状腺癌；官方指南目录确认版本，不替代其他甲状腺癌专用指南。来源：https://www.thyroid.org/professionals/ata-professional-guidelines/</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00_甲状腺甲旁乳腺AI病历系统总入口与模块调用索引</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