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</w:t>
        <w:br/>
        <w:t>甲状腺甲旁乳腺</w:t>
        <w:br/>
        <w:t>专科检查与体格检查模板库</w:t>
      </w:r>
    </w:p>
    <w:p>
      <w:pPr>
        <w:pStyle w:val="Subtitle"/>
      </w:pPr>
      <w:r>
        <w:t>普外科甲状腺甲旁乳腺AI病历系统</w:t>
      </w:r>
    </w:p>
    <w:p>
      <w:r>
        <w:t>版本 V2.0  |  核验日期 2026年10月26日</w:t>
      </w:r>
    </w:p>
    <w:p>
      <w:r>
        <w:t>所属层级 第二级 通用功能模块</w:t>
      </w:r>
    </w:p>
    <w:p>
      <w:r>
        <w:t>本模块供临床医师进行文书整理、分析与审核。模板结构用于组织真实资料；虚构示例仅用于演练。正式医学文书须经责任医师核对后使用。</w:t>
      </w:r>
    </w:p>
    <w:p>
      <w:r>
        <w:br w:type="page"/>
      </w:r>
    </w:p>
    <w:p>
      <w:pPr>
        <w:pStyle w:val="Heading1"/>
      </w:pPr>
      <w:r>
        <w:t>目录</w:t>
      </w:r>
    </w:p>
    <w:p>
      <w:r/>
      <w:r>
        <w:fldChar w:fldCharType="begin"/>
      </w:r>
      <w:r>
        <w:instrText> TOC \o "1-2" \h \z \u </w:instrText>
      </w:r>
      <w:r>
        <w:fldChar w:fldCharType="separate"/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检查记录边界与调用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采集与输出协议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01 颈部外观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02 甲状腺左右叶及峡部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03 甲状腺大小与分度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04 甲状腺结节位置与数量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05 结节大小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06 质地边界与活动度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07 吞咽活动及气管位置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08 颈部区域淋巴结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09 声音与发音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10 呼吸及吞咽安全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11 胸骨后甲状腺肿相关检查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12 既往颈部手术瘢痕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13 颈部术后切口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14 颈部引流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15 甲旁骨骼与肌肉表现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16 甲旁泌尿系统表现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17 甲旁神经肌肉与低钙症状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18 左右乳及对称性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19 乳房皮肤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20 乳头乳晕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21 乳头溢液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22 乳腺肿块定位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23 乳腺肿块尺寸与特征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24 腋窝淋巴结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25 锁骨上及锁骨下区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26 胸壁受累相关体征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27 乳腺术后切口及皮瓣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28 胸壁与腋窝引流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29 上肢功能及肿胀</w:t>
      </w:r>
      <w:r>
        <w:rPr>
          <w:sz w:val="20"/>
        </w:rPr>
        <w:tab/>
        <w:t>15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常见错误与纠正</w:t>
      </w:r>
      <w:r>
        <w:rPr>
          <w:sz w:val="20"/>
        </w:rPr>
        <w:tab/>
        <w:t>15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参考规范与修订信息</w:t>
      </w:r>
      <w:r>
        <w:rPr>
          <w:sz w:val="20"/>
        </w:rPr>
        <w:tab/>
        <w:t>15</w:t>
      </w:r>
    </w:p>
    <w:p>
      <w:pPr>
        <w:tabs>
          <w:tab w:pos="9864" w:val="right" w:leader="dot"/>
        </w:tabs>
      </w:pPr>
      <w:r>
        <w:t>典型虚构病例示例</w:t>
      </w:r>
      <w:r>
        <w:rPr>
          <w:sz w:val="20"/>
        </w:rPr>
        <w:tab/>
        <w:t>16</w:t>
      </w:r>
    </w:p>
    <w:p>
      <w:pPr>
        <w:tabs>
          <w:tab w:pos="9864" w:val="right" w:leader="dot"/>
        </w:tabs>
      </w:pPr>
      <w:r>
        <w:t>参考来源与维护</w:t>
      </w:r>
      <w:r>
        <w:fldChar w:fldCharType="end"/>
      </w:r>
      <w:r>
        <w:rPr>
          <w:sz w:val="20"/>
        </w:rPr>
        <w:tab/>
        <w:t>16</w:t>
      </w:r>
    </w:p>
    <w:p>
      <w:r>
        <w:br w:type="page"/>
      </w:r>
    </w:p>
    <w:p>
      <w:pPr>
        <w:pStyle w:val="Heading1"/>
      </w:pPr>
      <w:r>
        <w:t>检查记录边界与调用</w:t>
      </w:r>
    </w:p>
    <w:p>
      <w:r>
        <w:t>本节为模板设计说明，不属于可直接粘贴的患者正文。生成时只保留已核实事实，删除无资料栏目；关键身份、侧别、术式或时间冲突先交10模块阻断。引用01真实性规则及11状态模型，不以模板默认值补齐阴性检查。本模块只整理已问诊、视诊、触诊或测量结果。检查记录应同时保存操作者提供的事实与检查时间，主诉、临床观察、影像结果分别标注。</w:t>
      </w:r>
    </w:p>
    <w:p>
      <w:pPr>
        <w:pStyle w:val="Heading1"/>
      </w:pPr>
      <w:r>
        <w:t>采集与输出协议</w:t>
      </w:r>
    </w:p>
    <w:p>
      <w:r>
        <w:t>正式输出采用Markdown text代码框，日期、时间及文书标题置于代码框外。日常病程和各级查房正文为连续一整段，不留空行；入院、首次病程、术前小结和出院记录可分栏目。模板中的〔〕为设计槽位，实际生成必须替换或删除，未提供事实不写入正文。签名及真实记录时间由有资质医师核实。每项按检查方式→部位→结果→测量单位→时间组织。看图识别不清的数值应保留为待核对事项。</w:t>
      </w:r>
    </w:p>
    <w:p>
      <w:pPr>
        <w:pStyle w:val="Heading1"/>
      </w:pPr>
      <w:r>
        <w:t>01 颈部外观</w:t>
      </w:r>
    </w:p>
    <w:p>
      <w:r>
        <w:t>采集内容：颈前对称性、局部隆起、皮肤颜色、静脉、旧瘢痕、可见呼吸费力。</w:t>
      </w:r>
    </w:p>
    <w:p>
      <w:r>
        <w:t>设计模板：颈前区〔实查外观〕，〔瘢痕或局部改变〕。</w:t>
      </w:r>
    </w:p>
    <w:p>
      <w:r>
        <w:t>事实与解释边界：外观正常不能排除深部血肿；术后快速膨隆伴呼吸异常优先转06。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02 甲状腺左右叶及峡部</w:t>
      </w:r>
    </w:p>
    <w:p>
      <w:r>
        <w:t>采集内容：分别定位左叶、右叶和峡部，记录触诊是否可及及局限。</w:t>
      </w:r>
    </w:p>
    <w:p>
      <w:r>
        <w:t>设计模板：甲状腺左叶〔实查〕，右叶〔实查〕，峡部〔实查〕。</w:t>
      </w:r>
    </w:p>
    <w:p>
      <w:r>
        <w:t>事实与解释边界：未触及结节不能写超声结节不存在，胸骨后部分不能凭颈部触诊描述完整。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03 甲状腺大小与分度</w:t>
      </w:r>
    </w:p>
    <w:p>
      <w:r>
        <w:t>采集内容：实查测量或医师真实分度、是否影响邻近结构。</w:t>
      </w:r>
    </w:p>
    <w:p>
      <w:r>
        <w:t>设计模板：甲状腺〔真实大小或分度〕，〔相关压迫表现〕。</w:t>
      </w:r>
    </w:p>
    <w:p>
      <w:r>
        <w:t>事实与解释边界：不从超声体积自动转换触诊肿大分度；保留测量方式。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04 甲状腺结节位置与数量</w:t>
      </w:r>
    </w:p>
    <w:p>
      <w:r>
        <w:t>采集内容：病灶编号、侧别、上中下极、前后及与峡部关系。</w:t>
      </w:r>
    </w:p>
    <w:p>
      <w:r>
        <w:t>设计模板：结节T〔编号〕位于〔侧别和部位〕，触诊〔实际表现〕。</w:t>
      </w:r>
    </w:p>
    <w:p>
      <w:r>
        <w:t>事实与解释边界：多发结节逐个编号；不能把右叶穿刺写到左叶结节。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05 结节大小</w:t>
      </w:r>
    </w:p>
    <w:p>
      <w:r>
        <w:t>采集内容：触诊估计或实测最大径及多径、单位、测量方法。</w:t>
      </w:r>
    </w:p>
    <w:p>
      <w:r>
        <w:t>设计模板：触诊〔部位〕肿物约〔真实尺寸及单位〕。</w:t>
      </w:r>
    </w:p>
    <w:p>
      <w:r>
        <w:t>事实与解释边界：触诊估计需保留约字；不能从另一日期超声复制为今日触诊大小。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06 质地边界与活动度</w:t>
      </w:r>
    </w:p>
    <w:p>
      <w:r>
        <w:t>采集内容：软硬、表面、边界、压痛、固定或活动及检查条件。</w:t>
      </w:r>
    </w:p>
    <w:p>
      <w:r>
        <w:t>设计模板：肿物质〔实查〕，边界〔实查〕，活动度〔实查〕，压痛〔实查〕。</w:t>
      </w:r>
    </w:p>
    <w:p>
      <w:r>
        <w:t>事实与解释边界：质硬或活动差不能直接确诊癌或神经侵犯；未查不写无压痛。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07 吞咽活动及气管位置</w:t>
      </w:r>
    </w:p>
    <w:p>
      <w:r>
        <w:t>采集内容：吞咽时病灶移动、气管偏移、吞咽困难的主客观区别。</w:t>
      </w:r>
    </w:p>
    <w:p>
      <w:r>
        <w:t>设计模板：吞咽时〔实查移动〕；气管〔实查位置〕；患者诉〔吞咽表现〕。</w:t>
      </w:r>
    </w:p>
    <w:p>
      <w:r>
        <w:t>事实与解释边界：吞咽困难是症状，不能据此写气管食管侵犯；气管位置须检查证据。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08 颈部区域淋巴结</w:t>
      </w:r>
    </w:p>
    <w:p>
      <w:r>
        <w:t>采集内容：侧别、可及部位、数量、尺寸、质地及活动度。</w:t>
      </w:r>
    </w:p>
    <w:p>
      <w:r>
        <w:t>设计模板：〔侧别及区域〕触及〔真实数目和尺寸〕淋巴结，〔实查特征〕。</w:t>
      </w:r>
    </w:p>
    <w:p>
      <w:r>
        <w:t>事实与解释边界：触及肿大不等于转移，触诊区域不能自动映射为清扫分区病理。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09 声音与发音</w:t>
      </w:r>
    </w:p>
    <w:p>
      <w:r>
        <w:t>采集内容：本人主诉、医师听诊印象、术前基线、变化起点。</w:t>
      </w:r>
    </w:p>
    <w:p>
      <w:r>
        <w:t>设计模板：患者诉〔声音变化〕，交谈时〔实际发音表现〕。</w:t>
      </w:r>
    </w:p>
    <w:p>
      <w:r>
        <w:t>事实与解释边界：声音无异常不能证明声带活动正常；声带结论仅取喉镜等检查。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10 呼吸及吞咽安全</w:t>
      </w:r>
    </w:p>
    <w:p>
      <w:r>
        <w:t>采集内容：呼吸困难、喘鸣、发绀、饮水呛咳、吞咽受限及当前氧合。</w:t>
      </w:r>
    </w:p>
    <w:p>
      <w:r>
        <w:t>设计模板：患者〔症状〕，现场观察〔真实呼吸表现〕，〔实际监测结果〕。</w:t>
      </w:r>
    </w:p>
    <w:p>
      <w:r>
        <w:t>事实与解释边界：未做饮水评估不主动试验高风险气道；任何进行性气道表现应立即提示临床处置。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11 胸骨后甲状腺肿相关检查</w:t>
      </w:r>
    </w:p>
    <w:p>
      <w:r>
        <w:t>采集内容：体位相关呼吸症状、颈胸部外观、压迫迹象与已做影像。</w:t>
      </w:r>
    </w:p>
    <w:p>
      <w:r>
        <w:t>设计模板：〔体位〕时患者〔症状〕，颈胸部查体〔实查〕。</w:t>
      </w:r>
    </w:p>
    <w:p>
      <w:r>
        <w:t>事实与解释边界：不能从外观判断胸骨后范围或气管狭窄程度；需04影像对应。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12 既往颈部手术瘢痕</w:t>
      </w:r>
    </w:p>
    <w:p>
      <w:r>
        <w:t>采集内容：切口位置、长度与皮肤情况，历史术式另列。</w:t>
      </w:r>
    </w:p>
    <w:p>
      <w:r>
        <w:t>设计模板：颈前可见〔实查瘢痕〕，局部〔实查〕；既往术式见〔真实病史〕。</w:t>
      </w:r>
    </w:p>
    <w:p>
      <w:r>
        <w:t>事实与解释边界：瘢痕位置不证明已切除哪一叶或神经是否损伤，联动104取旧手术记录。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13 颈部术后切口</w:t>
      </w:r>
    </w:p>
    <w:p>
      <w:r>
        <w:t>采集内容：敷料、渗血、肿胀、紧张度、压痛、局部进展。</w:t>
      </w:r>
    </w:p>
    <w:p>
      <w:r>
        <w:t>设计模板：颈部切口〔实际观察〕，局部〔真实肿胀与变化〕。</w:t>
      </w:r>
    </w:p>
    <w:p>
      <w:r>
        <w:t>事实与解释边界：敷料干燥不排除深部出血；未拆敷料不可写切口愈合良好。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14 颈部引流</w:t>
      </w:r>
    </w:p>
    <w:p>
      <w:r>
        <w:t>采集内容：drain_id、置管部位、固定、通畅、液体性状、时段与量。</w:t>
      </w:r>
    </w:p>
    <w:p>
      <w:r>
        <w:t>设计模板：颈部引流管D〔编号〕〔在位状态〕，〔时段〕引流〔量及性状〕。</w:t>
      </w:r>
    </w:p>
    <w:p>
      <w:r>
        <w:t>事实与解释边界：量必须带统计区间；不得凭外观奶白直接诊断乳糜漏；未确认拔除不改状态。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15 甲旁骨骼与肌肉表现</w:t>
      </w:r>
    </w:p>
    <w:p>
      <w:r>
        <w:t>采集内容：骨痛部位、骨折史、肌无力与功能限制。</w:t>
      </w:r>
    </w:p>
    <w:p>
      <w:r>
        <w:t>设计模板：患者诉〔骨痛/肌无力实际表现〕，骨骼肌肉查体〔实查〕。</w:t>
      </w:r>
    </w:p>
    <w:p>
      <w:r>
        <w:t>事实与解释边界：骨痛不等于棕色瘤，肌无力不能单独诊断高钙或甲旁亢。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16 甲旁泌尿系统表现</w:t>
      </w:r>
    </w:p>
    <w:p>
      <w:r>
        <w:t>采集内容：结石史、腰痛、血尿、尿量与真实影像。</w:t>
      </w:r>
    </w:p>
    <w:p>
      <w:r>
        <w:t>设计模板：患者〔泌尿相关病史或症状〕，〔实际查体〕。</w:t>
      </w:r>
    </w:p>
    <w:p>
      <w:r>
        <w:t>事实与解释边界：无症状不排除结石，不凭甲旁亢诊断自动加入肾结石。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17 甲旁神经肌肉与低钙症状</w:t>
      </w:r>
    </w:p>
    <w:p>
      <w:r>
        <w:t>采集内容：口周手足麻木、肌痉挛、抽搐、意识状态及发生时间。</w:t>
      </w:r>
    </w:p>
    <w:p>
      <w:r>
        <w:t>设计模板：患者于〔时间〕出现〔实际症状〕，神经肌肉查体〔实查〕。</w:t>
      </w:r>
    </w:p>
    <w:p>
      <w:r>
        <w:t>事实与解释边界：未检查不能填写Chvostek或Trousseau征；不能仅因手术自动添加麻木。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18 左右乳及对称性</w:t>
      </w:r>
    </w:p>
    <w:p>
      <w:r>
        <w:t>采集内容：分别视诊双乳、体位、大小外形、旧切口与缺损。</w:t>
      </w:r>
    </w:p>
    <w:p>
      <w:r>
        <w:t>设计模板：双乳外形〔实查〕；左乳〔实查〕，右乳〔实查〕。</w:t>
      </w:r>
    </w:p>
    <w:p>
      <w:r>
        <w:t>事实与解释边界：既往乳房切除不能写双乳对称正常；对侧资料缺失不自动填正常。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19 乳房皮肤</w:t>
      </w:r>
    </w:p>
    <w:p>
      <w:r>
        <w:t>采集内容：红肿、橘皮样改变、凹陷、溃疡、色泽及范围。</w:t>
      </w:r>
    </w:p>
    <w:p>
      <w:r>
        <w:t>设计模板：〔侧别〕乳房〔部位〕皮肤见〔实际改变及范围〕。</w:t>
      </w:r>
    </w:p>
    <w:p>
      <w:r>
        <w:t>事实与解释边界：皮肤红肿不能自动诊断炎性乳腺癌或细菌感染，需105/106分析。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20 乳头乳晕</w:t>
      </w:r>
    </w:p>
    <w:p>
      <w:r>
        <w:t>采集内容：凹陷是否新发、糜烂、破损、湿疹样改变及瘢痕。</w:t>
      </w:r>
    </w:p>
    <w:p>
      <w:r>
        <w:t>设计模板：〔侧别〕乳头乳晕〔实查〕，〔患者确认的变化时间〕。</w:t>
      </w:r>
    </w:p>
    <w:p>
      <w:r>
        <w:t>事实与解释边界：未询问新旧不能判断新发内陷，湿疹样表现不直接写Paget病。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21 乳头溢液</w:t>
      </w:r>
    </w:p>
    <w:p>
      <w:r>
        <w:t>采集内容：自发或挤压、单孔多孔、颜色、量、侧别及是否哺乳。</w:t>
      </w:r>
    </w:p>
    <w:p>
      <w:r>
        <w:t>设计模板：〔侧别〕乳头〔真实溢液方式及特征〕。</w:t>
      </w:r>
    </w:p>
    <w:p>
      <w:r>
        <w:t>事实与解释边界：未观察只可写患者自述，血性溢液不等于癌，避免制造检查行为。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22 乳腺肿块定位</w:t>
      </w:r>
    </w:p>
    <w:p>
      <w:r>
        <w:t>采集内容：病灶编号、侧别、象限、钟点、距乳头距离、体位。</w:t>
      </w:r>
    </w:p>
    <w:p>
      <w:r>
        <w:t>设计模板：病灶B〔编号〕位于〔侧别〕乳〔象限/钟点〕，距乳头〔真实距离〕。</w:t>
      </w:r>
    </w:p>
    <w:p>
      <w:r>
        <w:t>事实与解释边界：钟点采用患者身体方位并保留原报告；不能按左右镜像擅自转换位置。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23 乳腺肿块尺寸与特征</w:t>
      </w:r>
    </w:p>
    <w:p>
      <w:r>
        <w:t>采集内容：多径、边界、质地、表面、活动、压痛及皮肤胸壁关系。</w:t>
      </w:r>
    </w:p>
    <w:p>
      <w:r>
        <w:t>设计模板：肿块约〔真实尺寸〕，质〔实查〕，边界〔实查〕，活动度〔实查〕。</w:t>
      </w:r>
    </w:p>
    <w:p>
      <w:r>
        <w:t>事实与解释边界：活动受限不自动确诊胸肌侵犯；体表测量和影像测量分开。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24 腋窝淋巴结</w:t>
      </w:r>
    </w:p>
    <w:p>
      <w:r>
        <w:t>采集内容：左/右、具体可及区域、大小质地融合固定情况。</w:t>
      </w:r>
    </w:p>
    <w:p>
      <w:r>
        <w:t>设计模板：〔侧别〕腋窝〔实查淋巴结结果〕。</w:t>
      </w:r>
    </w:p>
    <w:p>
      <w:r>
        <w:t>事实与解释边界：触诊阴性不等于pN0；未取样不编造病理淋巴结数。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25 锁骨上及锁骨下区</w:t>
      </w:r>
    </w:p>
    <w:p>
      <w:r>
        <w:t>采集内容：分别观察触诊双侧区域，记录可及结节。</w:t>
      </w:r>
    </w:p>
    <w:p>
      <w:r>
        <w:t>设计模板：〔侧别〕锁骨上/下区〔实查〕。</w:t>
      </w:r>
    </w:p>
    <w:p>
      <w:r>
        <w:t>事实与解释边界：腋窝资料不可替代锁骨区查体；不从颈部超声推测乳腺转移归属。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26 胸壁受累相关体征</w:t>
      </w:r>
    </w:p>
    <w:p>
      <w:r>
        <w:t>采集内容：肿块与胸肌活动关系、皮肤固定、局部疼痛和检查条件。</w:t>
      </w:r>
    </w:p>
    <w:p>
      <w:r>
        <w:t>设计模板：〔实际体位或动作〕时肿块〔活动关系〕，局部〔实查〕。</w:t>
      </w:r>
    </w:p>
    <w:p>
      <w:r>
        <w:t>事实与解释边界：体征只能支持进一步评估，不能以单一固定确定T4。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27 乳腺术后切口及皮瓣</w:t>
      </w:r>
    </w:p>
    <w:p>
      <w:r>
        <w:t>采集内容：切口完整性、敷料、肤色温度、毛细血管反应及动态。</w:t>
      </w:r>
    </w:p>
    <w:p>
      <w:r>
        <w:t>设计模板：〔侧别〕乳房/胸壁切口〔实查〕，皮瓣〔逐项真实结果〕。</w:t>
      </w:r>
    </w:p>
    <w:p>
      <w:r>
        <w:t>事实与解释边界：没有血运检查不写皮瓣血运良好；坏死必须有相应临床证据和诊断。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28 胸壁与腋窝引流</w:t>
      </w:r>
    </w:p>
    <w:p>
      <w:r>
        <w:t>采集内容：每根管道独立编号、所在区域、负压状态、量和性状。</w:t>
      </w:r>
    </w:p>
    <w:p>
      <w:r>
        <w:t>设计模板：胸壁D〔编号〕〔状态〕；腋窝D〔编号〕〔状态〕，〔时段〕各引流〔真实量〕。</w:t>
      </w:r>
    </w:p>
    <w:p>
      <w:r>
        <w:t>事实与解释边界：两根管量不可混记；拔除一根不等于全部拔除，不以固定天数判定拔管。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29 上肢功能及肿胀</w:t>
      </w:r>
    </w:p>
    <w:p>
      <w:r>
        <w:t>采集内容：患侧、肩活动范围、疼痛、感觉、围度及比较点。</w:t>
      </w:r>
    </w:p>
    <w:p>
      <w:r>
        <w:t>设计模板：〔侧别〕上肢〔真实肿胀/感觉〕，肩关节〔实测活动度或观察〕。</w:t>
      </w:r>
    </w:p>
    <w:p>
      <w:r>
        <w:t>事实与解释边界：未测量不填写角度与围度，术后肿胀不直接诊断淋巴水肿或DVT。</w:t>
      </w:r>
    </w:p>
    <w:p>
      <w:r>
        <w:t>专科质控：核对患者、侧别、病灶编号和检查时点，先区分主观症状与客观实查，再判断是否需要04检查解释、06异常处理或对应专病库。局部检查的阴性结论只限真实检查范围，不能扩展为未检查器官正常。将术前基线与术后变化并列比较时，各自保留时间；当日未复查不将历史结果改为今天。多病灶逐个独立记录，不用最可疑病灶代表全部病灶；照片不能替代触诊或体温测量，查体结论由医师审核。</w:t>
      </w:r>
    </w:p>
    <w:p>
      <w:pPr>
        <w:pStyle w:val="Heading1"/>
      </w:pPr>
      <w:r>
        <w:t>常见错误与纠正</w:t>
      </w:r>
    </w:p>
    <w:p>
      <w:r>
        <w:t>将未见引流记录改写成无引流管，是把缺项当阴性；应核对管道。将患者自述声音正常改为双侧声带活动正常，是跨越证据层级；只保留自述。将乳腺皮瓣照片颜色解释为血供充足，是过度判断；需真实床旁评估。将右侧病灶距乳头距离用于左侧，是病灶污染；按lesion_id隔离。将术前颈部无肿胀复制到术后突发不适时点，是时间污染；应重新评估并路由06。</w:t>
      </w:r>
    </w:p>
    <w:p>
      <w:pPr>
        <w:pStyle w:val="Heading1"/>
      </w:pPr>
      <w:r>
        <w:t>参考规范与修订信息</w:t>
      </w:r>
    </w:p>
    <w:p>
      <w:r>
        <w:t>来源核验日期：2026-10-26。卫生部《病历书写基本规范》，卫医政发〔2010〕11号，2010年，适用于中国医院文书结构与书写责任：https://www.nhc.gov.cn/bgt/s10696/201002/8cd7d4d70f4b42da839d2428dcbf723c.shtml 。ACR BI-RADS官方页面已列出v2025 Manual，适用于乳腺影像报告体系，未以宣传页面替代完整手册：https://www.acr.org/Clinical-Resources/Clinical-Tools-and-Reference/Reporting-and-Data-Systems/BI-RADS 。ATA官方指南目录列有2025成人分化型甲状腺癌管理指南，其范围不延伸至所有甲状腺恶性肿瘤：https://www.thyroid.org/professionals/ata-professional-guidelines/ 。本模块主要规范信息组织，不替代完整指南的个体化治疗条款；具体阈值、分期版本和处方须使用医院确认的有效全文复核。</w:t>
      </w:r>
    </w:p>
    <w:p>
      <w:pPr>
        <w:pStyle w:val="Heading1"/>
      </w:pPr>
      <w:r>
        <w:t>典型虚构病例示例</w:t>
      </w:r>
    </w:p>
    <w:p>
      <w:r>
        <w:t>以下内容为虚构演练，不得作为真实患者资料，也不得将其中的检查、手术或医师意见迁移至实际病例。</w:t>
      </w:r>
    </w:p>
    <w:p>
      <w:r>
        <w:t>【虚构病例，仅用于检查边界测试】</w:t>
      </w:r>
    </w:p>
    <w:p>
      <w:r>
        <w:t>2026年10月26日 10:00 专科检查记录</w:t>
      </w:r>
    </w:p>
    <w:p>
      <w:r>
        <w:t>```text</w:t>
      </w:r>
    </w:p>
    <w:p>
      <w:r>
        <w:t>左乳2点方向、距乳头约3cm处触及约2cm肿块，质韧，活动度可；右乳触诊资料未提供。左侧腋窝触诊未及明显肿大淋巴结。</w:t>
      </w:r>
    </w:p>
    <w:p>
      <w:r>
        <w:t>```</w:t>
      </w:r>
    </w:p>
    <w:p>
      <w:r>
        <w:t>测试说明：右乳未检查不能写正常；正式文书若医院不接受缺项陈述，应将右乳待补充移至代码框外，仅保留已检查内容。</w:t>
      </w:r>
    </w:p>
    <w:p>
      <w:pPr>
        <w:pStyle w:val="Heading1"/>
      </w:pPr>
      <w:r>
        <w:t>参考来源与维护</w:t>
      </w:r>
    </w:p>
    <w:p>
      <w:r>
        <w:t>病历书写基本规范。原卫生部，2010，卫医政发〔2010〕11号。适用边界：全模块：记录真实性、内容和时限；采用官方正文而非2002试行版。来源：https://www.nhc.gov.cn/wjw/c100175/201002/b1bec53d90f243e0861529723f00221a.shtml</w:t>
      </w:r>
    </w:p>
    <w:p>
      <w:r>
        <w:t>医疗质量安全核心制度要点。国家卫生健康委员会，2018，国卫医发〔2018〕8号。适用边界：查房、手术讨论、会诊、抢救与交接制度。来源：https://www.nhc.gov.cn/yzygj/c100068/201804/42ab2552298047679cd6ec733f233862.shtml</w:t>
      </w:r>
    </w:p>
    <w:p>
      <w:r>
        <w:t>电子病历应用管理规范（试行）。原国家卫生计生委、国家中医药管理局，2017。适用边界：电子病历使用、修改留痕与签署权限。来源：https://www.nhc.gov.cn/wjw/c100175/201702/90f3de8ae03d488cbddf509dc958f75b.shtml</w:t>
      </w:r>
    </w:p>
    <w:p>
      <w:r>
        <w:t>修订日期2026年10月26日。仅将已经核验的来源用于相应范围；完整条款、药物剂量、分期表和手术适应证在实际患者应用时由医师按本院采用版本复核。未取得官方全文的CSCO指南不作为具体推荐号或证据等级来源。本库不是医院信息系统，不能自动签署或下达医嘱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Hiragino Sans GB" w:hAnsi="Hiragino Sans GB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03_甲状腺甲旁乳腺专科检查与体格检查模板库</dc:title>
  <dc:subject>甲状腺 甲状旁腺 乳腺外科病历辅助</dc:subject>
  <dc:creator/>
  <cp:keywords>V2.0 临床文书 模板 事实核实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