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</w:t>
        <w:br/>
        <w:t>甲状腺甲旁乳腺</w:t>
        <w:br/>
        <w:t>检验影像病理及特殊检查分析模板库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两种分析模式与报告保真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证据模型与单位协议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甲状腺超声及TI-RADS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颈部淋巴结超声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TSH、FT3、FT4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甲状腺相关抗体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Tg与TgAb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降钙素及适用标志物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细针穿刺与Bethesda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甲状腺术中冰冻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甲状腺正式病理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甲状腺CT/MRI等影像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喉镜与声带评估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PTH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总钙与离子钙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白蛋白与校正钙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血磷和镁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ALP及骨代谢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维生素D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肾功能与甲旁背景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尿液指标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甲旁定位超声与核素显像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21 其他甲旁定位检查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22 术中PTH变化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23 术后钙PTH动态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24 乳腺超声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25 乳腺钼靶与断层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26 乳腺MRI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27 乳腺活检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28 乳腺快速与石蜡病理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29 ER、PR、HER2与Ki-67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30 切缘与淋巴结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31 分子病理与基因检测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32 新辅助治疗后病理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综合分析步骤与诊断修正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参考规范与修订信息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17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17</w:t>
      </w:r>
    </w:p>
    <w:p>
      <w:r>
        <w:br w:type="page"/>
      </w:r>
    </w:p>
    <w:p>
      <w:pPr>
        <w:pStyle w:val="Heading1"/>
      </w:pPr>
      <w:r>
        <w:t>两种分析模式与报告保真</w:t>
      </w:r>
    </w:p>
    <w:p>
      <w:r>
        <w:t>原始报告整理模式：逐报告保留所见与意见原文，允许增加索引但不改写原报告诊断；无法辨认处在框外说明，原文不擅自修正。临床综合分析模式：单独写出证据来源、病灶对应、变化、解释及证据局限，不把分析混入报告引文。任何模式都保留采样、检查、签发与回报时间，病程只能引用记录截止时点已经可得结果。</w:t>
      </w:r>
    </w:p>
    <w:p>
      <w:pPr>
        <w:pStyle w:val="Heading1"/>
      </w:pPr>
      <w:r>
        <w:t>证据模型与单位协议</w:t>
      </w:r>
    </w:p>
    <w:p>
      <w:r>
        <w:t>报告至少绑定patient_id、encounter_id、lesion_id、specimen_id、report_id；同次手术多个标本分别记录。数值同时保留原单位与参考区间；不同时段、不同实验室、不同方法趋势比较须注明限制。发生患者或病灶归属冲突时停止诊断整合，交10核查。正式输出采用Markdown text代码框，日期、时间及文书标题置于代码框外。日常病程和各级查房正文为连续一整段，不留空行；入院、首次病程、术前小结和出院记录可分栏目。模板中的〔〕为设计槽位，实际生成必须替换或删除，未提供事实不写入正文。签名及真实记录时间由有资质医师核实。</w:t>
      </w:r>
    </w:p>
    <w:p>
      <w:pPr>
        <w:pStyle w:val="Heading1"/>
      </w:pPr>
      <w:r>
        <w:t>01 甲状腺超声及TI-RADS</w:t>
      </w:r>
    </w:p>
    <w:p>
      <w:r>
        <w:t>整理字段：逐结节记录侧别、位置、多径、组成、回声、边缘、纵横比、强回声及报告分级。</w:t>
      </w:r>
    </w:p>
    <w:p>
      <w:r>
        <w:t>临床解释规则：保留ACR TI-RADS、C-TIRADS等体系和版本；体系不明写原报告TI-RADS并框外核对，不自行互换4A与TR4。</w:t>
      </w:r>
    </w:p>
    <w:p>
      <w:r>
        <w:t>设计分析模板：超声〔日期〕示T〔编号〕〔原文要点〕，原报告采用〔体系/版本〕评为〔等级〕；该结果为影像风险评价，病理性质需结合穿刺或组织学。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02 颈部淋巴结超声</w:t>
      </w:r>
    </w:p>
    <w:p>
      <w:r>
        <w:t>整理字段：侧别、区组、大小、皮髓质、门结构、血流、钙化及对应取样。</w:t>
      </w:r>
    </w:p>
    <w:p>
      <w:r>
        <w:t>临床解释规则：影像可疑与穿刺或病理证实分别记录，不把所有颈部结节视为甲状腺转移。</w:t>
      </w:r>
    </w:p>
    <w:p>
      <w:r>
        <w:t>设计分析模板：〔区域〕淋巴结超声提示〔所见〕，目前证据处于〔影像/细胞学/组织学〕层级，拟按实际方案进一步评估。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03 TSH、FT3、FT4</w:t>
      </w:r>
    </w:p>
    <w:p>
      <w:r>
        <w:t>整理字段：采样时间、单位、实验室参考范围、近期治疗和趋势。</w:t>
      </w:r>
    </w:p>
    <w:p>
      <w:r>
        <w:t>临床解释规则：TSH降低不独立证明甲亢未控制；非甲状腺疾病、药物及检验干扰需结合背景。</w:t>
      </w:r>
    </w:p>
    <w:p>
      <w:r>
        <w:t>设计分析模板：〔日期〕TSH〔值〕、FT3〔值〕、FT4〔值〕，结合〔症状和治疗〕，目前考虑〔限定判断〕。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04 甲状腺相关抗体</w:t>
      </w:r>
    </w:p>
    <w:p>
      <w:r>
        <w:t>整理字段：TPOAb、TgAb、TRAb等实际项目、定量、单位与参考区间。</w:t>
      </w:r>
    </w:p>
    <w:p>
      <w:r>
        <w:t>临床解释规则：抗体阳性不能替代甲状腺功能检查或肿瘤组织学，未检测项目不列阴性。</w:t>
      </w:r>
    </w:p>
    <w:p>
      <w:r>
        <w:t>设计分析模板：〔抗体项目〕〔结果〕，可作为〔相应临床问题〕的辅助证据，需结合功能及临床背景。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05 Tg与TgAb</w:t>
      </w:r>
    </w:p>
    <w:p>
      <w:r>
        <w:t>整理字段：手术范围、TSH状态、同次TgAb、治疗背景、测定方法和趋势。</w:t>
      </w:r>
    </w:p>
    <w:p>
      <w:r>
        <w:t>临床解释规则：残留正常甲状腺也可产生Tg，TgAb影响解释；单次升高不能直接诊断复发。</w:t>
      </w:r>
    </w:p>
    <w:p>
      <w:r>
        <w:t>设计分析模板：〔日期〕Tg〔结果〕，同期TgAb〔结果〕，结合〔术式、TSH及影像〕评估，当前〔证据限制〕。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06 降钙素及适用标志物</w:t>
      </w:r>
    </w:p>
    <w:p>
      <w:r>
        <w:t>整理字段：指标、单位、参考区间、肾功能及相关病史。</w:t>
      </w:r>
    </w:p>
    <w:p>
      <w:r>
        <w:t>临床解释规则：升高需分析其他原因，不能单凭结果确诊髓样癌，更不能推定RET或MEN2。</w:t>
      </w:r>
    </w:p>
    <w:p>
      <w:r>
        <w:t>设计分析模板：降钙素〔结果〕，需结合〔真实病理及临床资料〕进一步评价髓样病变可能。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07 细针穿刺与Bethesda</w:t>
      </w:r>
    </w:p>
    <w:p>
      <w:r>
        <w:t>整理字段：取样病灶编号、方法、标本满意度、原诊断、分类体系及版本。</w:t>
      </w:r>
    </w:p>
    <w:p>
      <w:r>
        <w:t>临床解释规则：不能凭描述推算Bethesda；滤泡性肿瘤细胞学不等于滤泡癌，需相应组织学证据。</w:t>
      </w:r>
    </w:p>
    <w:p>
      <w:r>
        <w:t>设计分析模板：T〔编号〕FNA报告〔日期〕原文为〔诊断〕，Bethesda〔原类别〕，其证据意义为〔原报告允许结论〕。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08 甲状腺术中冰冻</w:t>
      </w:r>
    </w:p>
    <w:p>
      <w:r>
        <w:t>整理字段：手术及标本编号、术中报告时间、诊断原文、限制。</w:t>
      </w:r>
    </w:p>
    <w:p>
      <w:r>
        <w:t>临床解释规则：冰冻不替代正式石蜡；不能把术中倾向性描述升级确诊。</w:t>
      </w:r>
    </w:p>
    <w:p>
      <w:r>
        <w:t>设计分析模板：术中快速病理〔标本〕提示〔原文〕，最终性质仍需术后正式病理确定。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09 甲状腺正式病理</w:t>
      </w:r>
    </w:p>
    <w:p>
      <w:r>
        <w:t>整理字段：类型、肿瘤径、多灶性、包膜血管侵犯、腺外侵犯、切缘及分区淋巴结。</w:t>
      </w:r>
    </w:p>
    <w:p>
      <w:r>
        <w:t>临床解释规则：缺项不默认阴性；滤泡癌关键证据按报告记录，不能补造包膜或血管侵犯。</w:t>
      </w:r>
    </w:p>
    <w:p>
      <w:r>
        <w:t>设计分析模板：正式病理〔报告号及回报日期〕示〔诊断与关键参数〕，据此对原诊断〔真实修正〕。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10 甲状腺CT/MRI等影像</w:t>
      </w:r>
    </w:p>
    <w:p>
      <w:r>
        <w:t>整理字段：实际完成检查、增强与否、范围、邻近结构关系。</w:t>
      </w:r>
    </w:p>
    <w:p>
      <w:r>
        <w:t>临床解释规则：影像接触或受压不直接等同侵犯，检查未做不写无远处转移。</w:t>
      </w:r>
    </w:p>
    <w:p>
      <w:r>
        <w:t>设计分析模板：〔日期〕〔检查〕提示〔原文要点〕，对于〔气道/胸骨后/邻近器官〕问题提供〔限定证据〕。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11 喉镜与声带评估</w:t>
      </w:r>
    </w:p>
    <w:p>
      <w:r>
        <w:t>整理字段：检查时间、术前术后、左右声带活动、声门、检查者结论。</w:t>
      </w:r>
    </w:p>
    <w:p>
      <w:r>
        <w:t>临床解释规则：患者声音正常不能生成喉镜正常，声音嘶哑不能直接诊断神经断裂。</w:t>
      </w:r>
    </w:p>
    <w:p>
      <w:r>
        <w:t>设计分析模板：喉镜〔日期〕示〔原文声带运动结果〕，结合〔症状及手术时间〕评估，病因〔证据边界〕。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12 PTH</w:t>
      </w:r>
    </w:p>
    <w:p>
      <w:r>
        <w:t>整理字段：完整PTH或其他测定、采样点、单位、参考区间及肾功能。</w:t>
      </w:r>
    </w:p>
    <w:p>
      <w:r>
        <w:t>临床解释规则：不同方法不能简单比较；PTH必须与同阶段钙磷、肾功能及维生素D解释。</w:t>
      </w:r>
    </w:p>
    <w:p>
      <w:r>
        <w:t>设计分析模板：〔日期〕PTH〔结果及参考范围〕，同期〔钙磷肾功能〕，目前〔限定判断〕。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13 总钙与离子钙</w:t>
      </w:r>
    </w:p>
    <w:p>
      <w:r>
        <w:t>整理字段：采样时间、单位、参考区间、白蛋白、pH及症状。</w:t>
      </w:r>
    </w:p>
    <w:p>
      <w:r>
        <w:t>临床解释规则：总钙低不必然代表离子钙低，离子钙受前处理及酸碱影响；不可无资料计算校正钙。</w:t>
      </w:r>
    </w:p>
    <w:p>
      <w:r>
        <w:t>设计分析模板：总钙〔结果〕，离子钙〔实际结果〕，白蛋白〔结果〕，结合〔症状〕判断低钙的临床意义。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14 白蛋白与校正钙</w:t>
      </w:r>
    </w:p>
    <w:p>
      <w:r>
        <w:t>整理字段：原始总钙、白蛋白、单位、公式来源和适用条件。</w:t>
      </w:r>
    </w:p>
    <w:p>
      <w:r>
        <w:t>临床解释规则：校正值仅为估算，低白蛋白或重症场景不替代实测离子钙；未要求计算不自行生成。</w:t>
      </w:r>
    </w:p>
    <w:p>
      <w:r>
        <w:t>设计分析模板：总钙解释受白蛋白〔结果〕影响，需结合实测离子钙与症状评价；当前不据此单独判断永久性甲旁减。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15 血磷和镁</w:t>
      </w:r>
    </w:p>
    <w:p>
      <w:r>
        <w:t>整理字段：数值、单位、肾功能、药物与营养及动态。</w:t>
      </w:r>
    </w:p>
    <w:p>
      <w:r>
        <w:t>临床解释规则：低镁可影响钙调节，肾病改变磷排泄；单一低钙不能定饥饿骨。</w:t>
      </w:r>
    </w:p>
    <w:p>
      <w:r>
        <w:t>设计分析模板：〔日期〕血磷〔结果〕、镁〔结果〕，结合〔钙、PTH及背景〕综合分析。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16 ALP及骨代谢</w:t>
      </w:r>
    </w:p>
    <w:p>
      <w:r>
        <w:t>整理字段：ALP、肝胆来源可能、骨病史及其他实际骨代谢项目。</w:t>
      </w:r>
    </w:p>
    <w:p>
      <w:r>
        <w:t>临床解释规则：ALP升高不专属于骨病或饥饿骨，未做检查不补造骨密度。</w:t>
      </w:r>
    </w:p>
    <w:p>
      <w:r>
        <w:t>设计分析模板：ALP〔结果〕，结合〔肝功能和骨代谢资料〕，需进一步辨别异常来源。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17 维生素D</w:t>
      </w:r>
    </w:p>
    <w:p>
      <w:r>
        <w:t>整理字段：实际25-OH-D等项目、单位、参考标准、近期补充。</w:t>
      </w:r>
    </w:p>
    <w:p>
      <w:r>
        <w:t>临床解释规则：不同项目不能混写，不能只凭维生素D低诊断原发性甲旁亢。</w:t>
      </w:r>
    </w:p>
    <w:p>
      <w:r>
        <w:t>设计分析模板：〔项目〕〔结果〕，可能影响钙磷及PTH解释，后续处理依医师已确认方案。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18 肾功能与甲旁背景</w:t>
      </w:r>
    </w:p>
    <w:p>
      <w:r>
        <w:t>整理字段：肌酐、eGFR、透析及移植史、药物。</w:t>
      </w:r>
    </w:p>
    <w:p>
      <w:r>
        <w:t>临床解释规则：PTH升高在肾病中需结合病程，不能单凭高PTH确定三发性。</w:t>
      </w:r>
    </w:p>
    <w:p>
      <w:r>
        <w:t>设计分析模板：肾功能〔结果〕，有〔实际肾病/透析史〕，据此评估继发性因素并与103联动。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19 尿液指标</w:t>
      </w:r>
    </w:p>
    <w:p>
      <w:r>
        <w:t>整理字段：24小时尿钙或实际检测、收集完整性、肾功能和相关药物。</w:t>
      </w:r>
    </w:p>
    <w:p>
      <w:r>
        <w:t>临床解释规则：不从血钙推算尿钙，不凭单一尿结果确定遗传疾病或排除所有鉴别。</w:t>
      </w:r>
    </w:p>
    <w:p>
      <w:r>
        <w:t>设计分析模板：〔尿液检测〕〔结果〕，收集及影响因素〔真实资料〕，用于〔具体鉴别〕的辅助判断。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20 甲旁定位超声与核素显像</w:t>
      </w:r>
    </w:p>
    <w:p>
      <w:r>
        <w:t>整理字段：侧别、部位、病灶编号、检查方法与日期、是否一致。</w:t>
      </w:r>
    </w:p>
    <w:p>
      <w:r>
        <w:t>临床解释规则：定位不等于生化诊断，也不证明一定单腺体病变；阴性不排除甲旁亢。</w:t>
      </w:r>
    </w:p>
    <w:p>
      <w:r>
        <w:t>设计分析模板：定位检查〔名称及日期〕提示〔部位〕病灶，生化诊断另依据〔钙PTH等〕判断。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21 其他甲旁定位检查</w:t>
      </w:r>
    </w:p>
    <w:p>
      <w:r>
        <w:t>整理字段：实际增强CT、4D-CT、MRI或其他项目，记录方法和对比。</w:t>
      </w:r>
    </w:p>
    <w:p>
      <w:r>
        <w:t>临床解释规则：不能虚构已完成检查；不同检查不一致保留分歧，交104/MDT评估。</w:t>
      </w:r>
    </w:p>
    <w:p>
      <w:r>
        <w:t>设计分析模板：〔已完成定位检查〕提示〔原文〕，与〔另一检查〕〔一致/不一致〕，仍需结合手术评估。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22 术中PTH变化</w:t>
      </w:r>
    </w:p>
    <w:p>
      <w:r>
        <w:t>整理字段：基线、切除前后采样分钟、数值、手术事件及院内采用标准。</w:t>
      </w:r>
    </w:p>
    <w:p>
      <w:r>
        <w:t>临床解释规则：不自动套单一下降比例标准；缺采样点不能宣布手术成功，不用短期变化证明长期治愈。</w:t>
      </w:r>
    </w:p>
    <w:p>
      <w:r>
        <w:t>设计分析模板：术中PTH于〔实际时点〕分别为〔真实结果〕，按〔已确认标准〕评价〔结论或待评估〕。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23 术后钙PTH动态</w:t>
      </w:r>
    </w:p>
    <w:p>
      <w:r>
        <w:t>整理字段：相对每次手术时点、钙磷镁、症状、补充治疗与复测。</w:t>
      </w:r>
    </w:p>
    <w:p>
      <w:r>
        <w:t>临床解释规则：按真实日期绘制趋势；早期异常不写永久性甲旁减，持续低钙鉴别需多维证据。</w:t>
      </w:r>
    </w:p>
    <w:p>
      <w:r>
        <w:t>设计分析模板：术后〔时点〕血钙〔结果〕、PTH〔结果〕，较前〔变化〕，结合〔症状治疗〕继续评估。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24 乳腺超声</w:t>
      </w:r>
    </w:p>
    <w:p>
      <w:r>
        <w:t>整理字段：侧别、象限钟点距离、多径、病灶编号、腋窝及BI-RADS。</w:t>
      </w:r>
    </w:p>
    <w:p>
      <w:r>
        <w:t>临床解释规则：风险等级不是病理；同侧多灶逐个映射，不混用最大径和病理。</w:t>
      </w:r>
    </w:p>
    <w:p>
      <w:r>
        <w:t>设计分析模板：B〔编号〕超声〔日期〕提示〔所见〕，原报告BI-RADS〔级别及版本如有〕，尚需〔真实后续计划〕。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25 乳腺钼靶与断层</w:t>
      </w:r>
    </w:p>
    <w:p>
      <w:r>
        <w:t>整理字段：侧别、摄片方法、腺体密度、肿块钙化结构扭曲、分类。</w:t>
      </w:r>
    </w:p>
    <w:p>
      <w:r>
        <w:t>临床解释规则：钙化不等于原位癌；影像分布和活检靶点需对应，不能根据文字重分级。</w:t>
      </w:r>
    </w:p>
    <w:p>
      <w:r>
        <w:t>设计分析模板：〔检查〕示B〔编号〕〔原文〕，与超声病灶〔实际对应关系〕，分类保留原报告。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26 乳腺MRI</w:t>
      </w:r>
    </w:p>
    <w:p>
      <w:r>
        <w:t>整理字段：检查时间与治疗阶段、增强方法、病灶范围、对侧及腋窝。</w:t>
      </w:r>
    </w:p>
    <w:p>
      <w:r>
        <w:t>临床解释规则：强化不等于残余浸润癌，MRI缓解不能替代病理完全缓解；未增强不能补动态参数。</w:t>
      </w:r>
    </w:p>
    <w:p>
      <w:r>
        <w:t>设计分析模板：MRI〔日期〕于〔治疗前/中/后〕提示〔原文〕，用于〔范围或疗效〕评估，病理仍需〔实际状态〕。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27 乳腺活检</w:t>
      </w:r>
    </w:p>
    <w:p>
      <w:r>
        <w:t>整理字段：FNA、粗针或真空辅助方法、取样病灶、标本、病理号。</w:t>
      </w:r>
    </w:p>
    <w:p>
      <w:r>
        <w:t>临床解释规则：不同方法组织信息不同；少量良性组织不自动解释影像高风险，应评估一致性。</w:t>
      </w:r>
    </w:p>
    <w:p>
      <w:r>
        <w:t>设计分析模板：B〔编号〕经〔方法〕取样，病理〔报告〕示〔原文〕，影像病理〔实际一致性评价〕。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28 乳腺快速与石蜡病理</w:t>
      </w:r>
    </w:p>
    <w:p>
      <w:r>
        <w:t>整理字段：取材病灶、报告阶段、类型级别、大小切缘、淋巴结。</w:t>
      </w:r>
    </w:p>
    <w:p>
      <w:r>
        <w:t>临床解释规则：冰冻阴性不保证石蜡无病变，原位癌不自动变浸润，追加报告应保留版本。</w:t>
      </w:r>
    </w:p>
    <w:p>
      <w:r>
        <w:t>设计分析模板：〔阶段〕病理〔编号〕提示〔原文〕，正式报告〔状态〕；当前诊断据〔对应证据〕表述。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29 ER、PR、HER2与Ki-67</w:t>
      </w:r>
    </w:p>
    <w:p>
      <w:r>
        <w:t>整理字段：对应病灶及标本、百分比、染色强度、IHC/ISH、评分方法。</w:t>
      </w:r>
    </w:p>
    <w:p>
      <w:r>
        <w:t>临床解释规则：HER2 IHC 2+不直接写阳性；无ISH不编造扩增；Ki-67不能单独决定方案。</w:t>
      </w:r>
    </w:p>
    <w:p>
      <w:r>
        <w:t>设计分析模板：B〔编号〕标本〔编号〕ER〔原文〕、PR〔原文〕、HER2〔IHC及实际ISH〕、Ki-67〔原文〕，按已确认病理解释。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30 切缘与淋巴结</w:t>
      </w:r>
    </w:p>
    <w:p>
      <w:r>
        <w:t>整理字段：侧别、标本方向、距切缘、墨染受累、哨兵/清扫、阳性/总数。</w:t>
      </w:r>
    </w:p>
    <w:p>
      <w:r>
        <w:t>临床解释规则：未知切缘不写阴性；取到组织数不等于淋巴结数，前哨数不替代清扫数。</w:t>
      </w:r>
    </w:p>
    <w:p>
      <w:r>
        <w:t>设计分析模板：〔标本〕切缘〔原文〕；〔区域及手术类型〕淋巴结〔实际阳性数/总数〕，后续外科决策由106评估。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31 分子病理与基因检测</w:t>
      </w:r>
    </w:p>
    <w:p>
      <w:r>
        <w:t>整理字段：检测目的、方法、标本、体细胞/胚系、变异分类和报告日期。</w:t>
      </w:r>
    </w:p>
    <w:p>
      <w:r>
        <w:t>临床解释规则：意义未明变异不等于致病，未检测不能根据家族史推定基因；药物匹配需专科确认。</w:t>
      </w:r>
    </w:p>
    <w:p>
      <w:r>
        <w:t>设计分析模板：〔检测〕〔报告日期〕提示〔原结论〕，其用途为〔真实检测目的〕，具体临床解释以正式报告及专科意见为据。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32 新辅助治疗后病理</w:t>
      </w:r>
    </w:p>
    <w:p>
      <w:r>
        <w:t>整理字段：治疗前基线、治疗完成情况、术后残余肿瘤、淋巴结与报告评价。</w:t>
      </w:r>
    </w:p>
    <w:p>
      <w:r>
        <w:t>临床解释规则：c、yc、yp分开；不能以影像缩小推定pCR，也不在资料不全时自行算RCB。</w:t>
      </w:r>
    </w:p>
    <w:p>
      <w:r>
        <w:t>设计分析模板：治疗前〔c资料〕；治疗后影像〔yc资料〕；手术病理〔yp或残余原文〕，各阶段独立记录并用于后续专科评估。</w:t>
      </w:r>
    </w:p>
    <w:p>
      <w:r>
        <w:t>输出前检查：本结果是实际完成、待完成还是待回报；所述日期是采样日还是报告可用日；是否属于当前患者、当前病灶及本次治疗阶段。异常结果应说明对当前诊断和观察的意义，不直接生成药物或手术医嘱。引用原文与临床判断分栏管理；若报告自身用词矛盾，保留原文并请求核实，不能替病理科或影像科修订。</w:t>
      </w:r>
    </w:p>
    <w:p>
      <w:pPr>
        <w:pStyle w:val="Heading1"/>
      </w:pPr>
      <w:r>
        <w:t>综合分析步骤与诊断修正</w:t>
      </w:r>
    </w:p>
    <w:p>
      <w:r>
        <w:t>先列病灶与标本映射，再分出术前影像、穿刺、术中快速、术后石蜡、追加免疫或分子报告。按报告可用时间更新当前诊断，不回写既往病程。证据升级时说明前后差异是取样范围、方法还是新增证据所致；不强行消除真实差异。肿瘤TNM需先确认适用病种、版本、c/p/yc/yp阶段、T/N/M依据与缺项；不能根据一个超声最大径独立写总体分期。向07提供治疗相关证据，向09提供出院后应追踪项目，最终由10逐项审查。</w:t>
      </w:r>
    </w:p>
    <w:p>
      <w:pPr>
        <w:pStyle w:val="Heading1"/>
      </w:pPr>
      <w:r>
        <w:t>参考规范与修订信息</w:t>
      </w:r>
    </w:p>
    <w:p>
      <w:r>
        <w:t>来源核验日期：2026-10-26。卫生部《病历书写基本规范》，卫医政发〔2010〕11号，2010年，适用于中国医院文书结构与书写责任：https://www.nhc.gov.cn/bgt/s10696/201002/8cd7d4d70f4b42da839d2428dcbf723c.shtml 。ACR BI-RADS官方页面已列出v2025 Manual，适用于乳腺影像报告体系，未以宣传页面替代完整手册：https://www.acr.org/Clinical-Resources/Clinical-Tools-and-Reference/Reporting-and-Data-Systems/BI-RADS 。ATA官方指南目录列有2025成人分化型甲状腺癌管理指南，其范围不延伸至所有甲状腺恶性肿瘤：https://www.thyroid.org/professionals/ata-professional-guidelines/ 。本模块主要规范信息组织，不替代完整指南的个体化治疗条款；具体阈值、分期版本和处方须使用医院确认的有效全文复核。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【虚构病例，仅用于证据层级测试】</w:t>
      </w:r>
    </w:p>
    <w:p>
      <w:r>
        <w:t>2026年10月26日 11:00 辅助检查分析</w:t>
      </w:r>
    </w:p>
    <w:p>
      <w:r>
        <w:t>```text</w:t>
      </w:r>
    </w:p>
    <w:p>
      <w:r>
        <w:t>右乳10点方向病灶超声原报告评为BI-RADS 4A类；该分级反映影像学风险，不能据此确诊乳腺癌。该病灶粗针活检正式病理尚未回报，目前病变性质待明确，后续需结合对应病灶的组织病理结果复核诊断。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AJCC Current Staging System 2026。American College of Surgeons / AJCC，2026。适用边界：官方适用表确认：Breast、Thyroid differentiated &amp; anaplastic、Thyroid medullary、Parathyroid仍列第8版。分期具体分类须按对应章节核实。来源：https://www.facs.org/media/c5ik5tkr/ajcc-current-staging-system-2026.pdf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04_甲状腺甲旁乳腺检验影像病理及特殊检查分析模板库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