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</w:t>
        <w:br/>
        <w:t>甲状腺甲旁乳腺</w:t>
        <w:br/>
        <w:t>治疗决策围手术期用药及医嘱表达规则库</w:t>
      </w:r>
    </w:p>
    <w:p>
      <w:pPr>
        <w:pStyle w:val="Subtitle"/>
      </w:pPr>
      <w:r>
        <w:t>普外科甲状腺甲旁乳腺AI病历系统</w:t>
      </w:r>
    </w:p>
    <w:p>
      <w:r>
        <w:t>版本 V2.0  |  核验日期 2026年10月26日</w:t>
      </w:r>
    </w:p>
    <w:p>
      <w:r>
        <w:t>所属层级 第二级 通用功能模块</w:t>
      </w:r>
    </w:p>
    <w:p>
      <w:r>
        <w:t>本模块供临床医师进行文书整理、分析与审核。模板结构用于组织真实资料；虚构示例仅用于演练。正式医学文书须经责任医师核对后使用。</w:t>
      </w:r>
    </w:p>
    <w:p>
      <w:r>
        <w:br w:type="page"/>
      </w:r>
    </w:p>
    <w:p>
      <w:pPr>
        <w:pStyle w:val="Heading1"/>
      </w:pPr>
      <w:r>
        <w:t>目录</w:t>
      </w:r>
    </w:p>
    <w:p>
      <w:r/>
      <w:r>
        <w:fldChar w:fldCharType="begin"/>
      </w:r>
      <w:r>
        <w:instrText> TOC \o "1-2" \h \z \u </w:instrText>
      </w:r>
      <w:r>
        <w:fldChar w:fldCharType="separate"/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四种语义与状态机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处方与数值边界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01 手术与非手术选择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02 围手术期评估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03 抗菌药物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04 镇痛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05 VTE预防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06 抗凝及抗血小板管理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07 甲状腺激素替代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08 TSH抑制相关文书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09 甲亢围手术期管理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10 血钙PTH监测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11 补钙及维生素D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12 甲旁疾病药物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13 血糖电解质与肝肾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14 乳腺癌辅助治疗衔接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15 新辅助及辅助治疗</w:t>
      </w:r>
      <w:r>
        <w:rPr>
          <w:sz w:val="20"/>
        </w:rPr>
        <w:tab/>
        <w:t>10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16 内分泌治疗</w:t>
      </w:r>
      <w:r>
        <w:rPr>
          <w:sz w:val="20"/>
        </w:rPr>
        <w:tab/>
        <w:t>10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17 靶向及其他系统治疗</w:t>
      </w:r>
      <w:r>
        <w:rPr>
          <w:sz w:val="20"/>
        </w:rPr>
        <w:tab/>
        <w:t>10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18 放疗会诊与安排</w:t>
      </w:r>
      <w:r>
        <w:rPr>
          <w:sz w:val="20"/>
        </w:rPr>
        <w:tab/>
        <w:t>11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19 引流换药医嘱</w:t>
      </w:r>
      <w:r>
        <w:rPr>
          <w:sz w:val="20"/>
        </w:rPr>
        <w:tab/>
        <w:t>11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20 治疗停止调整复查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医嘱核对表的使用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治疗效果与不良反应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跨场景治疗状态核对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治疗证据链和效果评价的缺项处理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模块闭环验收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参考规范与修订信息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</w:pPr>
      <w:r>
        <w:t>典型虚构病例示例</w:t>
      </w:r>
      <w:r>
        <w:rPr>
          <w:sz w:val="20"/>
        </w:rPr>
        <w:tab/>
        <w:t>14</w:t>
      </w:r>
    </w:p>
    <w:p>
      <w:pPr>
        <w:tabs>
          <w:tab w:pos="9864" w:val="right" w:leader="dot"/>
        </w:tabs>
      </w:pPr>
      <w:r>
        <w:t>参考来源与维护</w:t>
      </w:r>
      <w:r>
        <w:fldChar w:fldCharType="end"/>
      </w:r>
      <w:r>
        <w:rPr>
          <w:sz w:val="20"/>
        </w:rPr>
        <w:tab/>
        <w:t>14</w:t>
      </w:r>
    </w:p>
    <w:p>
      <w:r>
        <w:br w:type="page"/>
      </w:r>
    </w:p>
    <w:p>
      <w:pPr>
        <w:pStyle w:val="Heading1"/>
      </w:pPr>
      <w:r>
        <w:t>四种语义与状态机</w:t>
      </w:r>
    </w:p>
    <w:p>
      <w:r>
        <w:t>医学知识只说明通常原则；治疗建议表示需进一步评估的可选项；医师拟定计划表示真实医师已经决定但未实施；实际执行医嘱须有执行或足以证明给药的资料。药物处方、签发、执行、暂缓、停用、恢复应各有事件时点及来源。未见医嘱不等于未治疗，开出医嘱不等于已给药，患者自述服药与院内执行记录分别保存。</w:t>
      </w:r>
    </w:p>
    <w:p>
      <w:pPr>
        <w:pStyle w:val="Heading1"/>
      </w:pPr>
      <w:r>
        <w:t>处方与数值边界</w:t>
      </w:r>
    </w:p>
    <w:p>
      <w:r>
        <w:t>不根据诊断自动添加药物，不自行生成甲状腺素、钙剂、化疗药及任何其他药物的实际剂量、途径、频次、疗程、停药或桥接日期。可以忠实整理用户已提供并已核实的完整医嘱。发现剂量单位或给药途径矛盾应框外核对，不直接改成常见剂量。正式输出采用Markdown text代码框，日期、时间及文书标题置于代码框外。日常病程和各级查房正文为连续一整段，不留空行；入院、首次病程、术前小结和出院记录可分栏目。模板中的〔〕为设计槽位，实际生成必须替换或删除，未提供事实不写入正文。签名及真实记录时间由有资质医师核实。</w:t>
      </w:r>
    </w:p>
    <w:p>
      <w:pPr>
        <w:pStyle w:val="Heading1"/>
      </w:pPr>
      <w:r>
        <w:t>01 手术与非手术选择</w:t>
      </w:r>
    </w:p>
    <w:p>
      <w:r>
        <w:t>决策需有的资料：诊断证据、病灶风险、症状、合并症、患者真实意愿及替代方案。</w:t>
      </w:r>
    </w:p>
    <w:p>
      <w:r>
        <w:t>专科规则：不由结节大小或分级单独自动确定手术。观察、进一步活检、手术、其他治疗及转诊均应有医师实际方案，不能将医学上可考虑写为患者已决定。</w:t>
      </w:r>
    </w:p>
    <w:p>
      <w:r>
        <w:t>设计表达：结合〔证据〕，医师拟〔方案〕；尚需明确〔问题〕，待〔条件〕后复评。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02 围手术期评估</w:t>
      </w:r>
    </w:p>
    <w:p>
      <w:r>
        <w:t>决策需有的资料：手术范围、气道、心肺、肝肾、营养、功能状态、麻醉意见及准备进度。</w:t>
      </w:r>
    </w:p>
    <w:p>
      <w:r>
        <w:t>专科规则：不代算缺资料评分，不凭检查大致正常写无禁忌。巨大甲状腺肿关注气道，乳房重建兼顾手术时长及供区风险。</w:t>
      </w:r>
    </w:p>
    <w:p>
      <w:r>
        <w:t>设计表达：已完成〔项目〕，〔未决风险〕仍需评估，手术状态为〔真实状态〕。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03 抗菌药物</w:t>
      </w:r>
    </w:p>
    <w:p>
      <w:r>
        <w:t>决策需有的资料：预防或治疗目的、感染证据、手术类型、培养、过敏、药物及疗程。</w:t>
      </w:r>
    </w:p>
    <w:p>
      <w:r>
        <w:t>专科规则：清洁手术不自动添加抗菌药。引流管在位不等于必须延长预防；发热或白细胞升高不独立证明感染。具体药物、给药时点和停用由真实医嘱提供。</w:t>
      </w:r>
    </w:p>
    <w:p>
      <w:r>
        <w:t>设计表达：因〔真实适应证〕按医嘱予〔真实治疗〕，结合〔疗效与证据〕评估后续调整。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04 镇痛</w:t>
      </w:r>
    </w:p>
    <w:p>
      <w:r>
        <w:t>决策需有的资料：疼痛位置程度、真实量表及时间、影响、药物、反应及不良反应。</w:t>
      </w:r>
    </w:p>
    <w:p>
      <w:r>
        <w:t>专科规则：无量表不填数值，突然加重需评估出血或感染等原因，不能只续镇痛。药物选择需结合肝肾、出血风险与既往反应。</w:t>
      </w:r>
    </w:p>
    <w:p>
      <w:r>
        <w:t>设计表达：患者〔疼痛变化〕，目前〔实际镇痛状态〕，治疗后〔真实反应〕。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05 VTE预防</w:t>
      </w:r>
    </w:p>
    <w:p>
      <w:r>
        <w:t>决策需有的资料：活动、肿瘤、既往血栓、手术、真实评估与同时出血风险。</w:t>
      </w:r>
    </w:p>
    <w:p>
      <w:r>
        <w:t>专科规则：不凭D-二聚体确诊血栓，不缺资料计算Caprini分数。机械预防和药物预防分开，穿戴实际执行不能由建议推定。</w:t>
      </w:r>
    </w:p>
    <w:p>
      <w:r>
        <w:t>设计表达：结合〔实际评估〕，当前〔已执行/拟实施〕预防措施为〔内容〕，同时观察出血及血栓症状。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06 抗凝及抗血小板管理</w:t>
      </w:r>
    </w:p>
    <w:p>
      <w:r>
        <w:t>决策需有的资料：原指征、药物、末次服用、肝肾、术式出血、停用恢复决定。</w:t>
      </w:r>
    </w:p>
    <w:p>
      <w:r>
        <w:t>专科规则：不擅自停药或桥接；颈部手术出血可能威胁气道，需记录风险平衡；药物已停、暂缓、待恢复与已恢复各有时间证据。</w:t>
      </w:r>
    </w:p>
    <w:p>
      <w:r>
        <w:t>设计表达：原因〔指征〕使用〔药物〕，经〔真实评估〕当前〔状态〕，拟于〔已确认条件〕复评。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07 甲状腺激素替代</w:t>
      </w:r>
    </w:p>
    <w:p>
      <w:r>
        <w:t>决策需有的资料：实际切除范围、现有甲功、原用药、服药方式及相互作用。</w:t>
      </w:r>
    </w:p>
    <w:p>
      <w:r>
        <w:t>专科规则：不因术式自动填左甲状腺素剂量；腺叶切除后也需依真实功能和计划评价。剂量、用法、复查时点仅整理医师明确方案。</w:t>
      </w:r>
    </w:p>
    <w:p>
      <w:r>
        <w:t>设计表达：当前甲状腺激素治疗〔真实状态〕，甲功〔结果〕，依〔真实方案〕继续或调整。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08 TSH抑制相关文书</w:t>
      </w:r>
    </w:p>
    <w:p>
      <w:r>
        <w:t>决策需有的资料：病理类型、风险、疗效反应、TSH与骨心血管合并风险。</w:t>
      </w:r>
    </w:p>
    <w:p>
      <w:r>
        <w:t>专科规则：替代和抑制目的不同，所有甲状腺癌不能套同一目标；髓样癌、未分化癌不套分化型癌规则。无已确认目标不自行给数值。</w:t>
      </w:r>
    </w:p>
    <w:p>
      <w:r>
        <w:t>设计表达：依据〔病理及风险资料〕，拟由专科评估TSH管理目标，当前〔实际用药状态〕。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09 甲亢围手术期管理</w:t>
      </w:r>
    </w:p>
    <w:p>
      <w:r>
        <w:t>决策需有的资料：真实症状、FT3/FT4、TSH、心率、心血管状态、原治疗、麻醉意见。</w:t>
      </w:r>
    </w:p>
    <w:p>
      <w:r>
        <w:t>专科规则：TSH抑制可滞后，不能单独判未控制。药物准备、碘剂、β受体阻滞等仅按实际医嘱记，不机械生成常规方案。</w:t>
      </w:r>
    </w:p>
    <w:p>
      <w:r>
        <w:t>设计表达：目前〔功能及临床状态〕，经〔实际评估〕手术准备〔进展〕，仍需关注〔真实风险〕。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10 血钙PTH监测</w:t>
      </w:r>
    </w:p>
    <w:p>
      <w:r>
        <w:t>决策需有的资料：手术类型、甲旁实际处理、症状、采血时点、钙磷镁与PTH趋势。</w:t>
      </w:r>
    </w:p>
    <w:p>
      <w:r>
        <w:t>专科规则：监测计划与已出结果分离，不凭术式写必然低钙。离子钙和总钙不能互换；严重症状或心律变化直接联动06。</w:t>
      </w:r>
    </w:p>
    <w:p>
      <w:r>
        <w:t>设计表达：〔时间〕检查〔结果〕，患者〔症状〕，拟按已确认计划〔监测〕。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11 补钙及维生素D</w:t>
      </w:r>
    </w:p>
    <w:p>
      <w:r>
        <w:t>决策需有的资料：低钙证据、症状、肾功能、镁、真实药物、给药途径与复测。</w:t>
      </w:r>
    </w:p>
    <w:p>
      <w:r>
        <w:t>专科规则：不生成钙剂或活性维生素D剂量；不能依据单个总钙指定静脉治疗。记录真实处理后必须跟踪症状及复查，而非预先写已纠正。</w:t>
      </w:r>
    </w:p>
    <w:p>
      <w:r>
        <w:t>设计表达：针对〔证据〕目前按医嘱〔真实补充措施〕，后续以〔实际复查计划〕评价。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12 甲旁疾病药物</w:t>
      </w:r>
    </w:p>
    <w:p>
      <w:r>
        <w:t>决策需有的资料：原发/继发/三发背景、肾病透析、钙磷PTH、原药物、术前后变化。</w:t>
      </w:r>
    </w:p>
    <w:p>
      <w:r>
        <w:t>专科规则：不把钙敏感受体激动剂、降磷或维生素D相关药物自动加入；围手术期停改由专科明确，需追踪原治疗是否仍有效。</w:t>
      </w:r>
    </w:p>
    <w:p>
      <w:r>
        <w:t>设计表达：结合〔生化与肾病资料〕，甲旁相关药物目前〔真实状态〕，后续由〔实际专科安排〕复评。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13 血糖电解质与肝肾</w:t>
      </w:r>
    </w:p>
    <w:p>
      <w:r>
        <w:t>决策需有的资料：原基础水平、当日趋势、禁食进食、液体状态和药物。</w:t>
      </w:r>
    </w:p>
    <w:p>
      <w:r>
        <w:t>专科规则：术后单次高糖不等于糖尿病；不自定胰岛素、补液或电解质剂量；肾功能变化需反馈所有可能受影响药物。</w:t>
      </w:r>
    </w:p>
    <w:p>
      <w:r>
        <w:t>设计表达：今日〔结果〕较前〔变化〕，结合〔背景〕考虑〔限定判断〕，当前〔真实处理〕。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14 乳腺癌辅助治疗衔接</w:t>
      </w:r>
    </w:p>
    <w:p>
      <w:r>
        <w:t>决策需有的资料：完整病理、切缘、淋巴结、标志物、分期证据、恢复与会诊状态。</w:t>
      </w:r>
    </w:p>
    <w:p>
      <w:r>
        <w:t>专科规则：外科记录应明确已申请会诊、已会诊建议、已制定方案或已执行；不能从HER2阳性直接写已用靶向。</w:t>
      </w:r>
    </w:p>
    <w:p>
      <w:r>
        <w:t>设计表达：病理〔要点〕，拟/已请〔科室〕评估辅助治疗，当前〔实际状态〕。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15 新辅助及辅助治疗</w:t>
      </w:r>
    </w:p>
    <w:p>
      <w:r>
        <w:t>决策需有的资料：方案来源、实际周期和日期、疗效、不良反应、手术时间衔接。</w:t>
      </w:r>
    </w:p>
    <w:p>
      <w:r>
        <w:t>专科规则：基线c阶段、治疗后yc和术后yp分离；不以治疗计划表证明周期已完成，不猜测最后给药日期。</w:t>
      </w:r>
    </w:p>
    <w:p>
      <w:r>
        <w:t>设计表达：截至〔日期〕已接受〔真实治疗〕，评价〔结果〕，后续〔实际计划〕。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16 内分泌治疗</w:t>
      </w:r>
    </w:p>
    <w:p>
      <w:r>
        <w:t>决策需有的资料：受体、绝经状态、既往药物、合并症、会诊意见与执行。</w:t>
      </w:r>
    </w:p>
    <w:p>
      <w:r>
        <w:t>专科规则：不凭ER阳性生成具体药物；男性、围绝经、卵巢功能和血栓骨风险需要专科判断，记录真实分工。</w:t>
      </w:r>
    </w:p>
    <w:p>
      <w:r>
        <w:t>设计表达：依据〔病理和临床资料〕，内分泌治疗〔建议/拟定/执行〕状态为〔真实内容〕。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17 靶向及其他系统治疗</w:t>
      </w:r>
    </w:p>
    <w:p>
      <w:r>
        <w:t>决策需有的资料：标志物与检测方法、原方案、器官功能、不良反应及专科意见。</w:t>
      </w:r>
    </w:p>
    <w:p>
      <w:r>
        <w:t>专科规则：不能将HER2 IHC 2+无ISH写确定阳性；免疫、化疗或其他药物不根据亚型自动启动或填剂量。</w:t>
      </w:r>
    </w:p>
    <w:p>
      <w:r>
        <w:t>设计表达：目前相关系统治疗〔真实状态〕，需结合〔病理与器官功能〕由专科明确后续安排。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18 放疗会诊与安排</w:t>
      </w:r>
    </w:p>
    <w:p>
      <w:r>
        <w:t>决策需有的资料：术式、切缘、淋巴结、既往照射、重建及会诊排程。</w:t>
      </w:r>
    </w:p>
    <w:p>
      <w:r>
        <w:t>专科规则：保乳后放疗常需评估但不能直接写已放疗；不能虚构靶区剂量、分次或开始日期；重建与放疗应记录真实协调结论。</w:t>
      </w:r>
    </w:p>
    <w:p>
      <w:r>
        <w:t>设计表达：已〔实际转诊或会诊〕，放疗计划〔真实状态〕，待〔条件〕后衔接。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19 引流换药医嘱</w:t>
      </w:r>
    </w:p>
    <w:p>
      <w:r>
        <w:t>决策需有的资料：每根管道、24小时量性状、局部、真实换药与拔管决定。</w:t>
      </w:r>
    </w:p>
    <w:p>
      <w:r>
        <w:t>专科规则：不按固定术后日拔管，皮瓣/供区/腋窝管分别管理；医嘱开出与护理执行状态区分。</w:t>
      </w:r>
    </w:p>
    <w:p>
      <w:r>
        <w:t>设计表达：D〔编号〕当前〔状态〕，依据〔真实评估〕拟/已〔实际措施〕，继续观察〔指标〕。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20 治疗停止调整复查</w:t>
      </w:r>
    </w:p>
    <w:p>
      <w:r>
        <w:t>决策需有的资料：原目的、疗效、不良反应、风险变化、决定者、变更时间及复评。</w:t>
      </w:r>
    </w:p>
    <w:p>
      <w:r>
        <w:t>专科规则：继续、增加、停用、暂缓、恢复、改药均说明病例依据；已停药不能继续写使用中，复查计划不能写复查正常。</w:t>
      </w:r>
    </w:p>
    <w:p>
      <w:r>
        <w:t>设计表达：因〔原因〕于〔时间〕按医嘱〔调整〕，调整后〔实际反应或待评价〕。</w:t>
      </w:r>
    </w:p>
    <w:p>
      <w:r>
        <w:t>执行核对：分别核实治疗目的、起止时间、药名及方案来源、实际执行情况、当前效果和下一次评价条件。若只提供一种药名而无用法，不补齐常规剂量；若只提供计划，不写患者已接受。临床建议放在框外，正式文书只保留真实医师计划及事实。与04检查、05术式、06并发症、09出院药物核对，所有重要变更回写11状态台账并经10审查。</w:t>
      </w:r>
    </w:p>
    <w:p>
      <w:pPr>
        <w:pStyle w:val="Heading1"/>
      </w:pPr>
      <w:r>
        <w:t>医嘱核对表的使用</w:t>
      </w:r>
    </w:p>
    <w:p>
      <w:r>
        <w:t>为每项治疗保存order_id、目的、提出者、状态、开始时间、停止时间、剂量来源及关联病灶/手术。出院前逐一核对院外续用、已停止、不再适用和待专科确认四类；不得把住院临时止痛、麻醉用药或术前预防药全部带入出院用药。患者正在使用与医师建议使用可同时存在但必须分清语义。</w:t>
      </w:r>
    </w:p>
    <w:p>
      <w:pPr>
        <w:pStyle w:val="Heading1"/>
      </w:pPr>
      <w:r>
        <w:t>治疗效果与不良反应</w:t>
      </w:r>
    </w:p>
    <w:p>
      <w:r>
        <w:t>评价应使用同一症状或指标的真实前后资料，明确评价时间及影响因素；若尚无复查，写计划评价，不能写已恢复。药物相关不良反应先记表现、时间及处理，因果尚不明确时保留可能性，不把所有异常归药物。肿瘤系统治疗产生的骨髓、心脏、肝肾等风险仅按实际资料纳入外科评估，不能代肿瘤科生成方案。</w:t>
      </w:r>
    </w:p>
    <w:p>
      <w:pPr>
        <w:pStyle w:val="Heading1"/>
      </w:pPr>
      <w:r>
        <w:t>跨场景治疗状态核对</w:t>
      </w:r>
    </w:p>
    <w:p>
      <w:r>
        <w:t>门诊记录曾服左甲状腺素、住院医嘱已暂缓时，保留既往服药与本次暂缓两个事件；当前病程使用本次真实状态，暂缓原因未提供则不编造。医师拟补钙、执行记录尚无时，只能写计划或已开医嘱，不能写补钙后症状减轻。内科会诊建议辅助化疗、外科尚待切口恢复时，记录会诊建议和当前恢复情况，不生成已经开始化疗或具体方案。抗凝药见于家庭药物清单、术前已经暂缓、出院未见恢复决定时，列为出院核对事项，不自动续用。同药不同剂型、单位或给药途径存在差异时，不自行等价换算，应保留出处由临床医师或药师确认。同一时点存在继续与停用矛盾而不能确定有效医嘱时，阻断该项治疗净稿，不能任选较晚截图。患者自述服药与院内医嘱不符时，分别保存自述与院内方案，不把自述变成医师处方。预防性抗菌药已停、术后轻度发热时，不能自动恢复抗菌药或确诊感染，需结合真实临床证据与医师决定。</w:t>
      </w:r>
    </w:p>
    <w:p>
      <w:pPr>
        <w:pStyle w:val="Heading1"/>
      </w:pPr>
      <w:r>
        <w:t>治疗证据链和效果评价的缺项处理</w:t>
      </w:r>
    </w:p>
    <w:p>
      <w:r>
        <w:t>治疗文书围绕当前问题、支持证据、真实决策、实际执行、效果评价及后续复评形成闭环。缺少执行证据时保留计划，缺少反应资料时记录待评价，缺少真实决定者意见时不得把AI建议写成上级指示。进一步检查、药物相互作用复核及转诊建议放在代码框外，正式文书只纳入已核实事实与真实医师计划。出现即时危急风险先提示临床处置，但抢救措施、药物剂量和实施时间仍须根据实际资料补记。病情变化使原方案可能不适用时，提示重新评估，不自动替换医嘱。每次写治疗有效均应有真实症状或指标变化，不能因已给药推定有效；每次写停药后无不良反应均应有真实观察来源，不把未报告异常当观察正常。多种治疗同时变化时，不把病情改善全部归因于单一药物。量表评分、疗效分级和不良事件等级需要完整资料和适用标准，不能自行填常见分值。临床治疗路线由主管团队决定，本库负责忠实整理和发现语义冲突。</w:t>
      </w:r>
    </w:p>
    <w:p>
      <w:pPr>
        <w:pStyle w:val="Heading1"/>
      </w:pPr>
      <w:r>
        <w:t>模块闭环验收</w:t>
      </w:r>
    </w:p>
    <w:p>
      <w:r>
        <w:t>验收时将本模块生成正文与原始资料逐项反向核对，确认每项数值、日期、治疗行为和医师意见均可追溯。关键冲突未解除不得输出正式净稿；一般缺项在代码框外提示，正文不遗留设计槽位。最终由临床医师审阅并签名。</w:t>
      </w:r>
    </w:p>
    <w:p>
      <w:pPr>
        <w:pStyle w:val="Heading1"/>
      </w:pPr>
      <w:r>
        <w:t>参考规范与修订信息</w:t>
      </w:r>
    </w:p>
    <w:p>
      <w:r>
        <w:t>来源核验日期：2026-10-26。卫生部《病历书写基本规范》，卫医政发〔2010〕11号，2010年，适用于中国医院文书结构与书写责任：https://www.nhc.gov.cn/bgt/s10696/201002/8cd7d4d70f4b42da839d2428dcbf723c.shtml 。ACR BI-RADS官方页面已列出v2025 Manual，适用于乳腺影像报告体系，未以宣传页面替代完整手册：https://www.acr.org/Clinical-Resources/Clinical-Tools-and-Reference/Reporting-and-Data-Systems/BI-RADS 。ATA官方指南目录列有2025成人分化型甲状腺癌管理指南，其范围不延伸至所有甲状腺恶性肿瘤：https://www.thyroid.org/professionals/ata-professional-guidelines/ 。本模块主要规范信息组织，不替代完整指南的个体化治疗条款；具体阈值、分期版本和处方须使用医院确认的有效全文复核。</w:t>
      </w:r>
    </w:p>
    <w:p>
      <w:pPr>
        <w:pStyle w:val="Heading1"/>
      </w:pPr>
      <w:r>
        <w:t>典型虚构病例示例</w:t>
      </w:r>
    </w:p>
    <w:p>
      <w:r>
        <w:t>以下内容为虚构演练，不得作为真实患者资料，也不得将其中的检查、手术或医师意见迁移至实际病例。</w:t>
      </w:r>
    </w:p>
    <w:p>
      <w:r>
        <w:t>【虚构病例，仅用于计划与执行区分测试】</w:t>
      </w:r>
    </w:p>
    <w:p>
      <w:r>
        <w:t>2026年10月26日 09:30 日常病程记录</w:t>
      </w:r>
    </w:p>
    <w:p>
      <w:r>
        <w:t>```text</w:t>
      </w:r>
    </w:p>
    <w:p>
      <w:r>
        <w:t>患者甲状腺全切除术后第1日，诉口周麻木。今日总钙1.88mmol/L，实验室参考范围2.10～2.60mmol/L，PTH低于该实验室参考范围。医师已开具补钙医嘱，当前尚未取得执行记录；后续需核实治疗执行并结合症状、离子钙及复查结果评价，不将本次早期低钙直接诊断为永久性甲状旁腺功能减退。</w:t>
      </w:r>
    </w:p>
    <w:p>
      <w:r>
        <w:t>```</w:t>
      </w:r>
    </w:p>
    <w:p>
      <w:pPr>
        <w:pStyle w:val="Heading1"/>
      </w:pPr>
      <w:r>
        <w:t>参考来源与维护</w:t>
      </w:r>
    </w:p>
    <w:p>
      <w:r>
        <w:t>病历书写基本规范。原卫生部，2010，卫医政发〔2010〕11号。适用边界：全模块：记录真实性、内容和时限；采用官方正文而非2002试行版。来源：https://www.nhc.gov.cn/wjw/c100175/201002/b1bec53d90f243e0861529723f00221a.shtml</w:t>
      </w:r>
    </w:p>
    <w:p>
      <w:r>
        <w:t>医疗质量安全核心制度要点。国家卫生健康委员会，2018，国卫医发〔2018〕8号。适用边界：查房、手术讨论、会诊、抢救与交接制度。来源：https://www.nhc.gov.cn/yzygj/c100068/201804/42ab2552298047679cd6ec733f233862.shtml</w:t>
      </w:r>
    </w:p>
    <w:p>
      <w:r>
        <w:t>电子病历应用管理规范（试行）。原国家卫生计生委、国家中医药管理局，2017。适用边界：电子病历使用、修改留痕与签署权限。来源：https://www.nhc.gov.cn/wjw/c100175/201702/90f3de8ae03d488cbddf509dc958f75b.shtml</w:t>
      </w:r>
    </w:p>
    <w:p>
      <w:r>
        <w:t>甲状腺结节和分化型甲状腺癌诊治指南（第二版）。中华医学会等，2023，中华内分泌代谢杂志39卷3期。适用边界：甲状腺结节与分化型癌；不能外推髓样、未分化癌；核验原始PDF题录。来源：https://chinanm.cma.org.cn/attach/0/d7217f6afb97410892c94e12e8767673.pdf</w:t>
      </w:r>
    </w:p>
    <w:p>
      <w:r>
        <w:t>2025 ATA成人分化型甲状腺癌管理指南。American Thyroid Association，2025，DOI 10.1177/10507256251363120。适用边界：成人分化型甲状腺癌；官方指南目录确认版本，不替代其他甲状腺癌专用指南。来源：https://www.thyroid.org/professionals/ata-professional-guidelines/</w:t>
      </w:r>
    </w:p>
    <w:p>
      <w:r>
        <w:t>中国抗癌协会乳腺癌诊治指南与规范（2026年版）。中国抗癌协会乳腺癌专业委员会等，中国癌症杂志2025年第35卷12期1157—1255。适用边界：2026版不等同出版年份；原始期刊页面核验题名与范围。具体治疗须结合完整指南与院内方案。来源：https://www.china-oncology.com/zh/article/doi/10.19401/j.cnki.1007-3639.2025.12.009/</w:t>
      </w:r>
    </w:p>
    <w:p>
      <w:r>
        <w:t>ACR BI-RADS v2025 Manual。American College of Radiology，2025。适用边界：官方当前版本页面已核实；受限全文未完整获取，不复刻付费手册、不宣称已逐条核验。来源：https://www.acr.org/Clinical-Resources/Clinical-Tools-and-Reference/Reporting-and-Data-Systems/BI-RADS</w:t>
      </w:r>
    </w:p>
    <w:p>
      <w:r>
        <w:t>修订日期2026年10月26日。仅将已经核验的来源用于相应范围；完整条款、药物剂量、分期表和手术适应证在实际患者应用时由医师按本院采用版本复核。未取得官方全文的CSCO指南不作为具体推荐号或证据等级来源。本库不是医院信息系统，不能自动签署或下达医嘱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Hiragino Sans GB" w:hAnsi="Hiragino Sans GB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07_甲状腺甲旁乳腺治疗决策围手术期用药及医嘱表达规则库</dc:title>
  <dc:subject>甲状腺 甲状旁腺 乳腺外科病历辅助</dc:subject>
  <dc:creator/>
  <cp:keywords>V2.0 临床文书 模板 事实核实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