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</w:t>
        <w:br/>
        <w:t>甲状腺甲旁乳腺</w:t>
        <w:br/>
        <w:t>AI自动调用路由与病例状态管理规则库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病例状态模型与隔离键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公共事实对象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甲状腺甲旁腺专科状态字段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乳腺专科状态字段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事件溯源和状态迁移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最小充分自动调用算法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甲状腺结节首次病程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甲状腺癌术前主任医师查房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甲状腺全切术后第一天病程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甲状腺术后低钙症状病程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甲旁亢术后主任医师查房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乳腺肿物首次病程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乳腺癌术前讨论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乳房切除术后主任医师查房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乳腺癌术后病理回报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乳腺癌新辅助后拟手术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特殊路由和急危症中断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按时间截取可用事实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冲突状态恢复和反向检查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正式输出格式强制规范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可用状态示例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真实性限制和常见错误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模块联动和质量控制清单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指南版本与修订说明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分期类别与源证据复核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9</w:t>
      </w:r>
    </w:p>
    <w:p>
      <w:r>
        <w:br w:type="page"/>
      </w:r>
    </w:p>
    <w:p>
      <w:pPr>
        <w:pStyle w:val="Heading1"/>
      </w:pPr>
      <w:r>
        <w:t>病例状态模型与隔离键</w:t>
      </w:r>
    </w:p>
    <w:p>
      <w:r>
        <w:t>层级：patient_id → encounter_id → lesion_id / operation_id → specimen_id / report_id / order_id。患者键是可靠的本地代号或住院身份映射；encounter_id是本次住院事件；双侧乳腺或甲状腺多结节分别建lesion_id；手术和病理与多个病灶可多对多链接，但每个关系须有来源。离开当前病例时取消活动引用，不能把上一病例的默认值带入。状态保存在当前会话或经授权本地病例文件，不声称仅靠Word能跨会话自动记忆。</w:t>
      </w:r>
    </w:p>
    <w:p>
      <w:pPr>
        <w:pStyle w:val="Heading1"/>
      </w:pPr>
      <w:r>
        <w:t>公共事实对象</w:t>
      </w:r>
    </w:p>
    <w:p>
      <w:r>
        <w:t>字段为fact_id、patient_id、encounter_id、domain、value、unit、reference_range、source_id、observed_at、available_at、recorded_at、verification_status、lesion_id、operation_id及supersedes。verification_status取confirmed、pending、conflicting、not_done、not_provided。缺值用null，不能以0、正常或阴性代表未知。来源文件的日期和结果日期不同须分别保存。相互矛盾保留两条，不能按最后输入静默覆盖。用户确认更正时写入更正链及原因。</w:t>
      </w:r>
    </w:p>
    <w:p>
      <w:pPr>
        <w:pStyle w:val="Heading1"/>
      </w:pPr>
      <w:r>
        <w:t>甲状腺甲旁腺专科状态字段</w:t>
      </w:r>
    </w:p>
    <w:p>
      <w:r>
        <w:t>thyroid_lesions包含side、lobe_or_isthmus、pole、size_axes_mm、count、ultrasound_system、system_version、risk_category、fna_report_id、bethesda_category及result_time。neck_nodes独立保存分区、侧别和证据类型。operation保存实际切除范围、中央及侧颈区处理。voice、laryngoscopy、ionm和parathyroid_handling分别保存时间和来源。calcium_series记录total_or_ionized、单位及白蛋白；pth_series记录方法和参考值；phosphate、magnesium、renal_function、vitamin_d有独立来源。replacement_orders与calcium_orders只引用已核实药单，不从疾病生成。</w:t>
      </w:r>
    </w:p>
    <w:p>
      <w:pPr>
        <w:pStyle w:val="Heading1"/>
      </w:pPr>
      <w:r>
        <w:t>乳腺专科状态字段</w:t>
      </w:r>
    </w:p>
    <w:p>
      <w:r>
        <w:t>breast_lesions保存side、quadrant、clock_position、distance_to_nipple、size_axes_mm、multifocality和BI-RADS及版本；biopsies、surgical_pathology与ihc通过specimen_id链接。每项ER、PR、HER2 IHC/ISH、Ki-67保留原数值或描述、方法和日期。pretreatment、on_treatment、post_neoadjuvant、postoperative分阶段存储。operations分别记录保乳或全切、前哨、腋窝清扫与重建；flaps、incisions、drains及arm_function按观察时间更新。systemic_therapy、radiotherapy和followup分别记录建议、计划和执行。</w:t>
      </w:r>
    </w:p>
    <w:p>
      <w:pPr>
        <w:pStyle w:val="Heading1"/>
      </w:pPr>
      <w:r>
        <w:t>事件溯源和状态迁移</w:t>
      </w:r>
    </w:p>
    <w:p>
      <w:r>
        <w:t>事件类型包括admission、test_ordered、specimen_collected、report_available、operation_planned、operation_delayed、operation_cancelled、operation_completed、observation、order_issued、drug_administered、order_held、order_stopped、drain_inserted、drain_removed、discharge及followup_completed。只有对应真实事件才迁移状态。计划到完成没有自动迁移，出院后门诊复查另建随访事件。过去错误通过更正事件处理，不删除已发生治疗。</w:t>
      </w:r>
    </w:p>
    <w:p>
      <w:pPr>
        <w:pStyle w:val="Heading1"/>
      </w:pPr>
      <w:r>
        <w:t>最小充分自动调用算法</w:t>
      </w:r>
    </w:p>
    <w:p>
      <w:r>
        <w:t>先加载01，解析病例状态11；建立疾病和文书标签。基础文书加入02；实查加入03；检查解释加入04；围手术期加入05；异常加入06；治疗表达加入07；三级查房加入08；恢复出院加入09；选择101—108中最贴切主模块，再按复杂性添加次模块。最后固定10，去重但保留顺序。不得为任何任务无差别加载20份文件。词语命中只是路由线索，不是患者确诊依据。</w:t>
      </w:r>
    </w:p>
    <w:p>
      <w:pPr>
        <w:pStyle w:val="Heading1"/>
      </w:pPr>
      <w:r>
        <w:t>甲状腺结节首次病程</w:t>
      </w:r>
    </w:p>
    <w:p>
      <w:r>
        <w:t>路由结果：01、11、02、03、04、101、10。状态前置条件：患者归属明确，文书日期有效，手术与治疗阶段有证据；否则先核实。</w:t>
      </w:r>
    </w:p>
    <w:p>
      <w:pPr>
        <w:pStyle w:val="Heading1"/>
      </w:pPr>
      <w:r>
        <w:t>甲状腺癌术前主任医师查房</w:t>
      </w:r>
    </w:p>
    <w:p>
      <w:r>
        <w:t>路由结果：01、11、02、05、08、102、10。状态前置条件：患者归属明确，文书日期有效，手术与治疗阶段有证据；否则先核实。</w:t>
      </w:r>
    </w:p>
    <w:p>
      <w:pPr>
        <w:pStyle w:val="Heading1"/>
      </w:pPr>
      <w:r>
        <w:t>甲状腺全切术后第一天病程</w:t>
      </w:r>
    </w:p>
    <w:p>
      <w:r>
        <w:t>路由结果：01、11、02、05、07、09、按已知病因选择101或102、10。状态前置条件：患者归属明确，文书日期有效，手术与治疗阶段有证据；否则先核实。甲状腺全切按实际病因选择101或102，不能由全切推断恶性。</w:t>
      </w:r>
    </w:p>
    <w:p>
      <w:pPr>
        <w:pStyle w:val="Heading1"/>
      </w:pPr>
      <w:r>
        <w:t>甲状腺术后低钙症状病程</w:t>
      </w:r>
    </w:p>
    <w:p>
      <w:r>
        <w:t>路由结果：01、11、02、04、06、原甲状腺专病101或102，按需103补钙磷分析、10。状态前置条件：患者归属明确，文书日期有效，手术与治疗阶段有证据；否则先核实。</w:t>
      </w:r>
    </w:p>
    <w:p>
      <w:pPr>
        <w:pStyle w:val="Heading1"/>
      </w:pPr>
      <w:r>
        <w:t>甲旁亢术后主任医师查房</w:t>
      </w:r>
    </w:p>
    <w:p>
      <w:r>
        <w:t>路由结果：01、11、02、04、08、103、10。状态前置条件：患者归属明确，文书日期有效，手术与治疗阶段有证据；否则先核实。</w:t>
      </w:r>
    </w:p>
    <w:p>
      <w:pPr>
        <w:pStyle w:val="Heading1"/>
      </w:pPr>
      <w:r>
        <w:t>乳腺肿物首次病程</w:t>
      </w:r>
    </w:p>
    <w:p>
      <w:r>
        <w:t>路由结果：01、11、02、03、04、105、10。状态前置条件：患者归属明确，文书日期有效，手术与治疗阶段有证据；否则先核实。</w:t>
      </w:r>
    </w:p>
    <w:p>
      <w:pPr>
        <w:pStyle w:val="Heading1"/>
      </w:pPr>
      <w:r>
        <w:t>乳腺癌术前讨论</w:t>
      </w:r>
    </w:p>
    <w:p>
      <w:r>
        <w:t>路由结果：01、11、02、04、05、106、10。状态前置条件：患者归属明确，文书日期有效，手术与治疗阶段有证据；否则先核实。</w:t>
      </w:r>
    </w:p>
    <w:p>
      <w:pPr>
        <w:pStyle w:val="Heading1"/>
      </w:pPr>
      <w:r>
        <w:t>乳房切除术后主任医师查房</w:t>
      </w:r>
    </w:p>
    <w:p>
      <w:r>
        <w:t>路由结果：01、11、02、05、08、106、10。状态前置条件：患者归属明确，文书日期有效，手术与治疗阶段有证据；否则先核实。</w:t>
      </w:r>
    </w:p>
    <w:p>
      <w:pPr>
        <w:pStyle w:val="Heading1"/>
      </w:pPr>
      <w:r>
        <w:t>乳腺癌术后病理回报</w:t>
      </w:r>
    </w:p>
    <w:p>
      <w:r>
        <w:t>路由结果：01、11、02、04、106、10。状态前置条件：患者归属明确，文书日期有效，手术与治疗阶段有证据；否则先核实。只有实际请求并有上级查房事实时才增加08，一般病理回报日常病程不模拟查房。</w:t>
      </w:r>
    </w:p>
    <w:p>
      <w:pPr>
        <w:pStyle w:val="Heading1"/>
      </w:pPr>
      <w:r>
        <w:t>乳腺癌新辅助后拟手术</w:t>
      </w:r>
    </w:p>
    <w:p>
      <w:r>
        <w:t>路由结果：01、11、02、05、07、107、10。状态前置条件：患者归属明确，文书日期有效，手术与治疗阶段有证据；否则先核实。</w:t>
      </w:r>
    </w:p>
    <w:p>
      <w:pPr>
        <w:pStyle w:val="Heading1"/>
      </w:pPr>
      <w:r>
        <w:t>特殊路由和急危症中断</w:t>
      </w:r>
    </w:p>
    <w:p>
      <w:r>
        <w:t>甲状腺术后颈部快速增大伴呼吸困难立即置urgent标记，先输出临床紧急处置提示，再调用06及02抢救结构；不等待全部字段完成。双侧乳腺多病灶时增加108并逐病灶调用105或106。既往颈部手术、异位或多腺体增加104与103。单纯化验分析不强制冒充病程；仅要求原报告整理时保持原文并把分析留在外部。</w:t>
      </w:r>
    </w:p>
    <w:p>
      <w:pPr>
        <w:pStyle w:val="Heading1"/>
      </w:pPr>
      <w:r>
        <w:t>按时间截取可用事实</w:t>
      </w:r>
    </w:p>
    <w:p>
      <w:r>
        <w:t>构造某一记录时点的快照，只纳入observed_at不晚于记录时点且available_at不晚于该时点的事实。当前用户回顾旧事件的晚回报病理只能进入现在的总结或依法补记，不能伪装为过去已知。无法知道报告实际获知时间时，至少采用报告日期并提示限制，不能默认为采样时已知。数值趋势比较必须是同一项目、可比单位和方法，并注明可比性。</w:t>
      </w:r>
    </w:p>
    <w:p>
      <w:pPr>
        <w:pStyle w:val="Heading1"/>
      </w:pPr>
      <w:r>
        <w:t>冲突状态恢复和反向检查</w:t>
      </w:r>
    </w:p>
    <w:p>
      <w:r>
        <w:t>身份不符先隔离来源，保留原病例不变；病灶不明不建立链接；术式不符保留计划与实际双字段待核实；日期矛盾不计算术后日数；医嘱剂量不符不输出该药实际剂量。核实后重新运行10。反向检查从每句正文回溯fact_id，不能回溯的患者事实删除或降为框外建议。</w:t>
      </w:r>
    </w:p>
    <w:p>
      <w:pPr>
        <w:pStyle w:val="Heading1"/>
      </w:pPr>
      <w:r>
        <w:t>正式输出格式强制规范</w:t>
      </w:r>
    </w:p>
    <w:p>
      <w:r>
        <w:t>正式医学文书必须使用Markdown text代码框。文书日期、记录时间、文书标题均在代码框外；“某某主治医师查房记录”“某某副主任医师查房记录”“某某主任医师查房记录”等标题不得入框。框内仅为可复制至电子病历正文栏的医学正文，不放前言、解释、备注、待核实问题、AI痕迹或文书标题。日常病程和三级医师查房均连续完整一整段，不留空行，不人为增加空格，不为整段而删必要信息。入院、首次病程、术前小结、出院记录等按规范保留栏目。正式正文不得残留模板槽位、双选词或默认阴性体征。关键事实冲突须在框外核实，并阻断受影响净稿。正文中具有医学意义的事件日期、手术日期、采样时间、给药时间和抢救逐项时刻仍应保留；“日期在框外”只约束文书记录时间行，不能删除病程时间轴。模板仅是结构，不是事实。</w:t>
      </w:r>
    </w:p>
    <w:p>
      <w:pPr>
        <w:pStyle w:val="Heading1"/>
      </w:pPr>
      <w:r>
        <w:t>可用状态示例</w:t>
      </w:r>
    </w:p>
    <w:p>
      <w:r>
        <w:t>以下仅为虚构演示：patient_id=SIM-T01；encounter_id=E01；lesion_id=TH-R-01；2026-10-24右叶结节超声报告C-TIRADS 4A；2026-10-25已做FNA，结果尚未回报；operation_status=planned。此时只能写右叶结节性质待定、FNA结果待回报和拟手术计划，不能建立恶性组织学诊断或术后日数。patient_id=SIM-B01切换后该甲状腺资料不得自动继承。</w:t>
      </w:r>
    </w:p>
    <w:p>
      <w:pPr>
        <w:pStyle w:val="Heading1"/>
      </w:pPr>
      <w:r>
        <w:t>真实性限制和常见错误</w:t>
      </w:r>
    </w:p>
    <w:p>
      <w:r>
        <w:t>只执行01确认的事实来源规则。无来源的正常结果、已完成处置、查房意见及沟通均不可入稿。模板槽位不代表患者事实；本模块虚构示例只供测试，不是临床资料。影像分级与病理确诊、计划与执行、不同病灶及不同患者分别隔离。</w:t>
      </w:r>
    </w:p>
    <w:p>
      <w:pPr>
        <w:pStyle w:val="Heading1"/>
      </w:pPr>
      <w:r>
        <w:t>模块联动和质量控制清单</w:t>
      </w:r>
    </w:p>
    <w:p>
      <w:r>
        <w:t>入口00；最高规则01；状态11；骨架02；实查03；检查04；手术05；异常06；治疗07；查房08；恢复09；专病101—108；最终10。核对来源、患者、部位、时点、证据与状态后再输出。每次只加载任务需要的模块；最新医学知识不能覆盖真实临床记录。</w:t>
      </w:r>
    </w:p>
    <w:p>
      <w:pPr>
        <w:pStyle w:val="Heading1"/>
      </w:pPr>
      <w:r>
        <w:t>指南版本与修订说明</w:t>
      </w:r>
    </w:p>
    <w:p>
      <w:r>
        <w:t>V2.0，建设核验日期2026年10月26日。通用规范来源见本文件文末。中国2023甲状腺第二版与ATA2025 DTC适用范围不同；不将DTC规则外推髓样和未分化癌。ACR BI-RADS v2025已发布，患者原报告版本原样保留。AJCC官方2026适用表中本项目甲状腺、甲旁腺、乳腺仍为8版；不据此自动为患者分期。CSCO和受限手册若未获得官方全文，不写具体推荐号、证据等级或剂量。</w:t>
      </w:r>
    </w:p>
    <w:p>
      <w:pPr>
        <w:pStyle w:val="Heading1"/>
      </w:pPr>
      <w:r>
        <w:t>分期类别与源证据复核</w:t>
      </w:r>
    </w:p>
    <w:p>
      <w:r>
        <w:t>远处转移临床评价和组织学确认的M类别分开。没有证据不能默认cM0，病理分期不可生成pM0；仅按适用手册及真实证据使用病理M类别。新辅助后的ypT/ypN不替代初始cT/cN，不能以影像完全缓解推断病理完全缓解。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2026年10月26日 11:00 日常病程记录</w:t>
      </w:r>
    </w:p>
    <w:p>
      <w:r>
        <w:t>```text</w:t>
      </w:r>
    </w:p>
    <w:p>
      <w:r>
        <w:t>患者左乳肿物已于10月24日切除，术后第2日。10月26日正式病理回报示纤维腺瘤，据此将左乳肿物性质明确为良性病变。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AJCC Current Staging System 2026。American College of Surgeons / AJCC，2026。适用边界：官方适用表确认：Breast、Thyroid differentiated &amp; anaplastic、Thyroid medullary、Parathyroid仍列第8版。分期具体分类须按对应章节核实。来源：https://www.facs.org/media/c5ik5tkr/ajcc-current-staging-system-2026.pdf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11_甲状腺甲旁乳腺AI自动调用路由与病例状态管理规则库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