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03 骨科专科检查与解剖定位模板库</w:t>
      </w:r>
    </w:p>
    <w:p>
      <w:r>
        <w:t>版本 V2.0  |  更新与核验日期 2026年10月25日  |  第二级模块</w:t>
      </w:r>
    </w:p>
    <w:p>
      <w:r>
        <w:t>提供骨科区域实查、解剖定位、神经血管及量表分型变量。 用于医师审核前的医学文书辅助，实际诊疗、操作授权、知情沟通及签名由具备权限的医务人员完成。</w:t>
      </w:r>
    </w:p>
    <w:p>
      <w:pPr>
        <w:pStyle w:val="Heading1"/>
      </w:pPr>
      <w:r>
        <w:t>一 模块定位及适用范围</w:t>
      </w:r>
    </w:p>
    <w:p>
      <w:r>
        <w:t>功能定位：提供骨科区域实查、解剖定位、神经血管及量表分型变量。</w:t>
      </w:r>
    </w:p>
    <w:p>
      <w:r>
        <w:t>核心任务：在事实可追溯、诊断分层和状态准确的前提下，形成骨科专用分析与完整正文。</w:t>
      </w:r>
    </w:p>
    <w:p>
      <w:r>
        <w:t>适用范围：骨科普通病房、创伤、脊柱、关节、运动医学、手足显微、骨感染、骨肿瘤及儿童骨科；仅对本模块相关问题生效。</w:t>
      </w:r>
    </w:p>
    <w:p>
      <w:r>
        <w:t>自动调用条件：出现查体、活动度、肌力、神经血运、稳定性、分型或功能评分需求。</w:t>
      </w:r>
    </w:p>
    <w:p>
      <w:pPr>
        <w:pStyle w:val="Heading1"/>
      </w:pPr>
      <w:r>
        <w:t>二 最高书写及医学分析原则</w:t>
      </w:r>
    </w:p>
    <w:p>
      <w:r>
        <w:t>每条病例事实同时绑定患者、本次住院、损伤/病灶及操作事件、发生时间、记录时间、来源和核验状态。医学知识、医师拟定、已开医嘱、实际执行、暂停/停用/取消分开。未知不等于阴性，未记录不等于未发生，影像修复不等于功能恢复；模拟病例和模板变量不得写入真实患者事实。</w:t>
      </w:r>
    </w:p>
    <w:p>
      <w:r>
        <w:t>所有医学文书按“代码框外日期时间和文书标题＋独立Markdown text代码框内实际正文”输出；不添加“医学文书正文”标签、AI前言或无关备注。日常病程、换药观察、术后日常及三级医师查房正文为连续完整一整段，无空行、不分条；入院、首次病程、手术记录、讨论、抢救和出院等固定栏目文书可保留必要结构。文书题头日期不在框内重复；抢救/治疗等临床必需事件时间应保留。正式正文不得含未替换占位符；缺失关键资料时在框外列核对项，不编造。</w:t>
      </w:r>
    </w:p>
    <w:p>
      <w:r>
        <w:t>先明确损伤机制/疾病病程，再核对侧别和精确解剖、皮肤软组织、骨关节稳定性、神经血管、影像病理、治疗阶段和功能目标。分型/评分必须注明体系与版本并有实际依据，不把常见表现或标准步骤补成患者事实。结构模板中的【字段】仅作变量，正式输出须替换或删除；虚构模拟病例不得继承。</w:t>
      </w:r>
    </w:p>
    <w:p>
      <w:pPr>
        <w:pStyle w:val="Heading1"/>
      </w:pPr>
      <w:r>
        <w:t>三 按区域选择实查</w:t>
      </w:r>
    </w:p>
    <w:p>
      <w:pPr>
        <w:pStyle w:val="Heading2"/>
      </w:pPr>
      <w:r>
        <w:t>肩与上臂</w:t>
      </w:r>
    </w:p>
    <w:p>
      <w:r>
        <w:t>评估重点：肩皮肤、肩袖/腋神经、局部和肘关节，活动在安全范围。</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肘与前臂</w:t>
      </w:r>
    </w:p>
    <w:p>
      <w:r>
        <w:t>评估重点：关节对位、尺桡关联、正中含AIN/尺/桡神经与灌注。</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腕与手</w:t>
      </w:r>
    </w:p>
    <w:p>
      <w:r>
        <w:t>评估重点：指列旋转、独立屈伸肌腱、神经分布、指端灌注。</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骨盆与髋</w:t>
      </w:r>
    </w:p>
    <w:p>
      <w:r>
        <w:t>评估重点：全身状态、肢位长度、髋源/脊柱源及神经血运，急期不反复骨盆挤压。</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膝与小腿</w:t>
      </w:r>
    </w:p>
    <w:p>
      <w:r>
        <w:t>评估重点：软组织、伸膝装置、稳定试验适应性、腓总神经/动脉与筋膜室。</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踝与足</w:t>
      </w:r>
    </w:p>
    <w:p>
      <w:r>
        <w:t>评估重点：内外后侧、足中部跖侧、距骨位置、跟腱及足趾灌注。</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颈胸腰骶</w:t>
      </w:r>
    </w:p>
    <w:p>
      <w:r>
        <w:t>评估重点：定位肌群、皮节反射、长束/骶段及括约肌，神经水平和手术节段不同。</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开放创面</w:t>
      </w:r>
    </w:p>
    <w:p>
      <w:r>
        <w:t>评估重点：实际尺寸、深度、污染和组织活性，未探查不猜深层损伤。</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术后切口及引流</w:t>
      </w:r>
    </w:p>
    <w:p>
      <w:r>
        <w:t>评估重点：实际切口、敷料、引流部位量色与装置状态，未拆敷料不写已见切口。</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石膏支具牵引</w:t>
      </w:r>
    </w:p>
    <w:p>
      <w:r>
        <w:t>评估重点：部位松紧、皮肤压力、神经血运和实际牵引参数，未测不补。</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外固定及针道</w:t>
      </w:r>
    </w:p>
    <w:p>
      <w:r>
        <w:t>评估重点：支架部件及针道、松动或渗液、末端灌注，针道渗液不等于骨感染。</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再植皮瓣</w:t>
      </w:r>
    </w:p>
    <w:p>
      <w:r>
        <w:t>评估重点：颜色温度充盈及动态，血运观察与最终成活分开。</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2"/>
      </w:pPr>
      <w:r>
        <w:t>儿童与认知/配合受限</w:t>
      </w:r>
    </w:p>
    <w:p>
      <w:r>
        <w:t>评估重点：实际可完成项目和限制，不能将哭闹或不配合写成检查正常。</w:t>
      </w:r>
    </w:p>
    <w:p>
      <w:pPr>
        <w:keepNext/>
      </w:pPr>
      <w:r>
        <w:t>【文书日期及时间】 骨科专科检查</w:t>
      </w:r>
    </w:p>
    <w:p>
      <w:pPr>
        <w:pStyle w:val="Fence"/>
        <w:keepNext/>
      </w:pPr>
      <w:r>
        <w:t>```text</w:t>
      </w:r>
    </w:p>
    <w:p>
      <w:pPr>
        <w:pStyle w:val="MedicalBody"/>
        <w:keepNext/>
        <w:keepLines/>
      </w:pPr>
      <w:r>
        <w:t>【实际部位侧别】检查见【已实施所见】，感觉、运动和灌注【分项真实结果】，相关活动或试验【适应范围及实查】，未能完成【实际项目和原因】。</w:t>
      </w:r>
    </w:p>
    <w:p>
      <w:pPr>
        <w:pStyle w:val="Fence"/>
      </w:pPr>
      <w:r>
        <w:t>```</w:t>
      </w:r>
    </w:p>
    <w:p>
      <w:pPr>
        <w:pStyle w:val="Heading1"/>
      </w:pPr>
      <w:r>
        <w:t>四 分型量表和测量</w:t>
      </w:r>
    </w:p>
    <w:p>
      <w:pPr>
        <w:pStyle w:val="Heading2"/>
      </w:pPr>
      <w:r>
        <w:t>肌力MRC</w:t>
      </w:r>
    </w:p>
    <w:p>
      <w:r>
        <w:t>0无收缩，1有收缩无运动，2去重力运动，3抗重力，4抗一定阻力，5正常；按左右肌群和疼痛/固定限制记录。使用条件为实际评估可完成且适用；记录治疗前、复位/术后、恶化或康复/随访时点，跨时点比较需方法可比。</w:t>
      </w:r>
    </w:p>
    <w:p>
      <w:pPr>
        <w:pStyle w:val="Heading2"/>
      </w:pPr>
      <w:r>
        <w:t>疼痛NRS/VAS</w:t>
      </w:r>
    </w:p>
    <w:p>
      <w:r>
        <w:t>注明所用工具、静息/活动、部位、时间和患者反应；通常0—10或VAS实际长度版本，不凭表情推数值。使用条件为实际评估可完成且适用；记录治疗前、复位/术后、恶化或康复/随访时点，跨时点比较需方法可比。</w:t>
      </w:r>
    </w:p>
    <w:p>
      <w:pPr>
        <w:pStyle w:val="Heading2"/>
      </w:pPr>
      <w:r>
        <w:t>ROM</w:t>
      </w:r>
    </w:p>
    <w:p>
      <w:r>
        <w:t>记录关节、侧别、主动/被动、方向、度数、测量工具和允许范围；不能将可活动写成正常角度。使用条件为实际评估可完成且适用；记录治疗前、复位/术后、恶化或康复/随访时点，跨时点比较需方法可比。</w:t>
      </w:r>
    </w:p>
    <w:p>
      <w:pPr>
        <w:pStyle w:val="Heading2"/>
      </w:pPr>
      <w:r>
        <w:t>ISNCSCI及AIS</w:t>
      </w:r>
    </w:p>
    <w:p>
      <w:r>
        <w:t>按正式感觉、关键肌、神经水平和适当骶段保留等完整检查，不由影像或能走路推A级/E级；不能评估记录限制。使用条件为实际评估可完成且适用；记录治疗前、复位/术后、恶化或康复/随访时点，跨时点比较需方法可比。</w:t>
      </w:r>
    </w:p>
    <w:p>
      <w:pPr>
        <w:pStyle w:val="Heading2"/>
      </w:pPr>
      <w:r>
        <w:t>JOA/mJOA及ODI/NDI</w:t>
      </w:r>
    </w:p>
    <w:p>
      <w:r>
        <w:t>注明病种、具体版本、实际分项与时间，JOA与mJOA不能混换；功能分数不是影像压迫分数。使用条件为实际评估可完成且适用；记录治疗前、复位/术后、恶化或康复/随访时点，跨时点比较需方法可比。</w:t>
      </w:r>
    </w:p>
    <w:p>
      <w:pPr>
        <w:pStyle w:val="Heading2"/>
      </w:pPr>
      <w:r>
        <w:t>Harris/膝关节功能及WOMAC/KOOS</w:t>
      </w:r>
    </w:p>
    <w:p>
      <w:r>
        <w:t>版本、总分范围和项目、基线与随访条件齐全；不能从术后行走推评分。使用条件为实际评估可完成且适用；记录治疗前、复位/术后、恶化或康复/随访时点，跨时点比较需方法可比。</w:t>
      </w:r>
    </w:p>
    <w:p>
      <w:pPr>
        <w:pStyle w:val="Heading2"/>
      </w:pPr>
      <w:r>
        <w:t>DASH/QuickDASH及手功能</w:t>
      </w:r>
    </w:p>
    <w:p>
      <w:r>
        <w:t>手别优势、量表版本、实际回答和缺项处理，不能将全表和短表总分直接比较。使用条件为实际评估可完成且适用；记录治疗前、复位/术后、恶化或康复/随访时点，跨时点比较需方法可比。</w:t>
      </w:r>
    </w:p>
    <w:p>
      <w:pPr>
        <w:pStyle w:val="Heading2"/>
      </w:pPr>
      <w:r>
        <w:t>分型集合</w:t>
      </w:r>
    </w:p>
    <w:p>
      <w:r>
        <w:t>AO/OTA、Garden、Pauwels、Schatzker、Weber、Gustilo、TLICS、Vancouver、Salter Harris、Gartland、ARCO等逐一注明体系、部位、版本及依据，不从术式反推分型。使用条件为实际评估可完成且适用；记录治疗前、复位/术后、恶化或康复/随访时点，跨时点比较需方法可比。</w:t>
      </w:r>
    </w:p>
    <w:p>
      <w:pPr>
        <w:pStyle w:val="Heading1"/>
      </w:pPr>
      <w:r>
        <w:t>原有专科细则修订整合</w:t>
      </w:r>
    </w:p>
    <w:p>
      <w:r>
        <w:t>以下保留并整理原库的专科采集、分析及观察细则；属于规则和知识说明，不是患者已发生的事实。下列举例不能直接当作真实病程，正式正文使用本版结构模板并受01、10、11约束。</w:t>
      </w:r>
    </w:p>
    <w:p>
      <w:pPr>
        <w:pStyle w:val="Heading3"/>
      </w:pPr>
      <w:r>
        <w:t>专科检查事实边界</w:t>
      </w:r>
    </w:p>
    <w:p>
      <w:r>
        <w:t>不得自行生成的检查结果；未实际提供时，不得擅自写：1.骨擦感阳性。2.异常活动阳性。3.浮髌试验阳性或阴性。4.抽屉试验阳性或阴性。5.Lachman试验结果。6.McMurray试验结果。7.内外侧应力试验结果。8.Neer征结果。9.Hawkins征结果。10.Jobe试验结果。11.落臂试验结果。12.Thomas征结果。13.“4”字试验结果。14.直腿抬高试验结果。15.加强试验结果。16.股神经牵拉试验结果。17.臂丛牵拉试验结果。18.Hoffmann征结果。19.Babinski征结果。</w:t>
      </w:r>
    </w:p>
    <w:p>
      <w:r>
        <w:t>20.踝阵挛。21.肌力具体分级。22.关节活动度具体角度。23.肢体长度具体数值。24.肢体周径具体数值。25.毛细血管充盈具体秒数。26.其他未提供的特殊检查结果。特殊试验选择原则；特殊试验必须与：疾病；部位；损伤机制；当前治疗阶段；相匹配。禁止为了使专科检查“显得专业”而罗列大量无关特殊试验。例如：股骨颈骨折不机械加入McMurray试验。桡骨远端骨折不机械加入肩关节撞击试验。急性踝部骨折不机械进行所有踝关节韧带应力试验。明确急性骨折且疼痛明显时，不应为了模板完整而强行描述大范围关节活动检查。</w:t>
      </w:r>
    </w:p>
    <w:p>
      <w:pPr>
        <w:pStyle w:val="Heading3"/>
      </w:pPr>
      <w:r>
        <w:t>四肢创伤通用专科检查</w:t>
      </w:r>
    </w:p>
    <w:p>
      <w:r>
        <w:t>四肢闭合性创伤重点；重点观察：肿胀；瘀斑；畸形；皮肤完整性；压痛；骨性压痛；活动受限；相邻关节；远端感觉；远端运动；末梢血运。四肢创伤通用模板；右/左侧……局部可见/未见明显肿胀、皮下瘀斑及畸形，皮肤完整/皮肤情况……。局部压痛情况……，以……处明显，骨擦感及异常活动根据实际检查情况书写。患肢因疼痛活动受限/活动情况……，相邻关节活动情况根据实际资料记录。患肢远端感觉、运动情况……，相关动脉搏动情况……，末梢血运情况……。明确骨折后的表达；影像已经明确骨折时，专科检查重点应放在：软组织条件；肿胀；皮肤；压痛；畸形；</w:t>
      </w:r>
    </w:p>
    <w:p>
      <w:r>
        <w:t>神经；血管；相邻关节；固定状态。不要求反复验证骨擦感及异常活动。</w:t>
      </w:r>
    </w:p>
    <w:p>
      <w:pPr>
        <w:pStyle w:val="Heading3"/>
      </w:pPr>
      <w:r>
        <w:t>开放性损伤</w:t>
      </w:r>
    </w:p>
    <w:p>
      <w:r>
        <w:t>开放伤必须重点描述；1.具体部位。2.伤口数量。3.伤口长度。4.伤口形态。5.创缘。6.污染情况。7.伤口深度，如能够明确。8.伤口内可见组织。9.是否持续出血。10.渗血情况。11.渗液情况。12.周围软组织。13.肌腱功能。14.感觉。15.运动。16.末梢血运。开放性伤口模板；右/左侧……可见一长约×cm伤口，伤口形态及创缘情况……，伤口内可见……，伴……渗血/渗液，伤口周围软组织肿胀情况……，局部压痛……。相关关节及肌腱活动情况根据实际检查书写，患肢远端感觉、运动情况……，相关动脉搏动……，末梢血运……。</w:t>
      </w:r>
    </w:p>
    <w:p>
      <w:r>
        <w:t>开放伤禁止推断；看到伤口不得自动写：“开放性骨折”。必须结合：骨折是否存在；伤口是否与骨折端相通；影像；清创术中所见；临床明确诊断。同样不得根据开放伤自动写：肌腱断裂；神经断裂；血管断裂；感染；异物残留。</w:t>
      </w:r>
    </w:p>
    <w:p>
      <w:pPr>
        <w:pStyle w:val="Heading3"/>
      </w:pPr>
      <w:r>
        <w:t>严重肿胀及骨筋膜室风险观察</w:t>
      </w:r>
    </w:p>
    <w:p>
      <w:r>
        <w:t>适用情况；高能量四肢创伤；胫腓骨骨折；前臂骨折；挤压伤；严重软组织肿胀；再灌注相关损伤；其他需要警惕骨筋膜室压力升高的情况。重点检查；1.疼痛程度及趋势。2.肿胀程度。3.皮肤张力。4.被动牵伸痛。5.感觉异常。6.运动功能。7.末梢血运。8.动脉搏动。9.症状是否进行性加重。不得仅凭“肿胀明显”诊断骨筋膜室综合征。风险观察表达</w:t>
      </w:r>
    </w:p>
    <w:p>
      <w:r>
        <w:t>患肢局部肿胀情况……，皮肤张力……，疼痛情况……，被动牵伸相关表现根据实际检查记录，患肢远端感觉、运动及末梢血运情况……。目前需继续严密观察疼痛、肿胀、感觉、运动及末梢循环变化，出现进行性疼痛加重、感觉运动异常等情况及时进一步评估处理。</w:t>
      </w:r>
    </w:p>
    <w:p>
      <w:pPr>
        <w:pStyle w:val="Heading3"/>
      </w:pPr>
      <w:r>
        <w:t>肩关节</w:t>
      </w:r>
    </w:p>
    <w:p>
      <w:r>
        <w:t>肩关节基础检查；重点：肩部轮廓；肿胀；瘀斑；畸形；肌肉萎缩；肩锁关节；肩峰；肱骨大结节；结节间沟；压痛；主动活动；被动活动；前屈；后伸；外展；内收；内旋；外旋；远端神经血管。肩关节模板；右/左肩部外观……，可见/未见明显肿胀、瘀斑、畸形及肌肉萎缩。肩锁关节、肩峰前外侧、肱骨大结节及结节间沟等部位压痛情况根据实际检查记录。肩关节主动及被动前屈、后伸、外展、内收、内旋及外旋活动情况……，活动时疼痛情况……。相关特殊试验根据疾病及实际检查结果选择书写。患肢远端感觉、运动及末梢血运情况……。肩袖/撞击相关特殊试验</w:t>
      </w:r>
    </w:p>
    <w:p>
      <w:r>
        <w:t>根据实际检查可选择：Neer征；Hawkins-Kennedy试验；Jobe试验；落臂试验；外旋抗阻试验；Lift-off试验；Belly-press试验。未提供结果时不生成。肩关节脱位重点；重点观察：肩部轮廓；方肩畸形；肱骨头位置相关体征；活动；腋神经感觉；三角肌功能；桡动脉；末梢血运。复位后必须重新评估神经血管情况，但只有实际资料支持时方可写入结果。</w:t>
      </w:r>
    </w:p>
    <w:p>
      <w:pPr>
        <w:pStyle w:val="Heading3"/>
      </w:pPr>
      <w:r>
        <w:t>肘关节</w:t>
      </w:r>
    </w:p>
    <w:p>
      <w:r>
        <w:t>肘关节重点；外观；肿胀；瘀斑；畸形；鹰嘴；内外上髁；桡骨头；压痛；屈伸；旋前旋后；稳定性；尺神经；正中神经；桡神经；远端血运。肘关节模板；右/左肘部外观……，局部肿胀、瘀斑及畸形情况……，皮肤情况……。肱骨内外上髁、鹰嘴及桡骨头等部位压痛情况……。肘关节屈伸及前臂旋前、旋后活动情况……，活动时疼痛情况……。患肢远端感觉、运动情况……，桡动脉搏动及末梢血运情况……。</w:t>
      </w:r>
    </w:p>
    <w:p>
      <w:pPr>
        <w:pStyle w:val="Heading3"/>
      </w:pPr>
      <w:r>
        <w:t>腕关节</w:t>
      </w:r>
    </w:p>
    <w:p>
      <w:r>
        <w:t>腕关节重点；肿胀；瘀斑；餐叉样或其他畸形；桡骨远端；尺骨茎突；鼻烟窝；腕骨；压痛；腕屈伸；桡偏尺偏；前臂旋转；正中神经；尺神经；桡神经；指端血运。腕关节模板；右/左腕部局部肿胀情况……，可见/未见皮下瘀斑及明显畸形，皮肤情况……。桡骨远端、尺骨茎突、鼻烟窝及其他相关部位压痛情况……。腕关节屈伸、桡偏、尺偏及前臂旋前旋后活动情况根据病情及实际检查记录。各指感觉及活动情况……，指端血运情况……。桡骨远端骨折重点；除局部骨折体征外，特别注意：正中神经感觉；拇指对掌等相关运动；各指活动；指端血运；明显肿胀；</w:t>
      </w:r>
    </w:p>
    <w:p>
      <w:r>
        <w:t>石膏或夹板固定后的压迫情况。不得仅因为存在桡骨远端骨折自动诊断正中神经损伤。</w:t>
      </w:r>
    </w:p>
    <w:p>
      <w:pPr>
        <w:pStyle w:val="Heading3"/>
      </w:pPr>
      <w:r>
        <w:t>手部</w:t>
      </w:r>
    </w:p>
    <w:p>
      <w:r>
        <w:t>手部检查原则；手部检查应尽量具体到：掌侧/背侧；桡侧/尺侧；具体手指；近节/中节/远节；掌指关节；近侧指间关节；远侧指间关节；具体伤口位置。避免仅写“右手肿胀”。手部模板；右/左手……部局部可见……，伤口/肿胀/瘀斑情况……。局部压痛……，相关掌指关节及指间关节活动情况……。屈肌腱、伸肌腱功能根据实际检查情况记录，各指感觉情况……，指端血运情况……。肌腱功能；如怀疑肌腱损伤，应根据实际检查分别评估：指深屈肌腱；指浅屈肌腱；伸肌腱；拇长屈肌腱；拇长伸肌腱；其他相关肌腱。不得仅凭伤口位置推断肌腱断裂。</w:t>
      </w:r>
    </w:p>
    <w:p>
      <w:pPr>
        <w:pStyle w:val="Heading3"/>
      </w:pPr>
      <w:r>
        <w:t>骨盆</w:t>
      </w:r>
    </w:p>
    <w:p>
      <w:r>
        <w:t>骨盆损伤重点；骨盆区域疼痛；局部肿胀及瘀斑；骨盆稳定性相关检查；髋关节活动；双下肢长度；感觉运动；末梢血运；会阴部情况，如实际检查；排尿情况；合并腹部及泌尿系统损伤线索。对于明确或高度怀疑不稳定骨盆损伤，不应为了病历模板反复进行骨盆挤压检查。骨盆模板；骨盆区域外观及局部肿胀、瘀斑情况……，耻骨联合、髂骨及骶髂区域压痛情况……。骨盆稳定性相关检查根据患者病情及实际检查记录，不进行不必要的反复诱发。双髋及双下肢活动情况……，双下肢感觉、运动及末梢血运情况……。会阴部及排尿相关情况根据实际资料书写。</w:t>
      </w:r>
    </w:p>
    <w:p>
      <w:pPr>
        <w:pStyle w:val="Heading3"/>
      </w:pPr>
      <w:r>
        <w:t>髋关节</w:t>
      </w:r>
    </w:p>
    <w:p>
      <w:r>
        <w:t>髋关节重点；下肢姿势；短缩；外旋或其他畸形；腹股沟；大转子；压痛；纵向叩击痛；主动活动；被动活动；下肢长度；远端感觉运动；足背动脉；末梢血运。髋关节模板；右/左髋部皮肤情况……，局部肿胀、瘀斑情况……，患肢姿势及有无短缩、旋转畸形根据实际检查记录。腹股沟区及股骨大转子周围压痛情况……，纵向叩击痛根据实际检查书写。髋关节主动及被动活动情况……，活动时疼痛情况……。双下肢长度根据实际测量情况记录，患肢远端感觉、运动及末梢血运情况……。股骨颈及转子间骨折；重点：患肢姿势；短缩外旋；腹股沟/大转子压痛；纵向叩击痛；</w:t>
      </w:r>
    </w:p>
    <w:p>
      <w:r>
        <w:t>髋活动受限；远端神经血管。急性明确骨折时不要求强行进行大范围髋关节活动检查。</w:t>
      </w:r>
    </w:p>
    <w:p>
      <w:pPr>
        <w:pStyle w:val="Heading3"/>
      </w:pPr>
      <w:r>
        <w:t>膝关节</w:t>
      </w:r>
    </w:p>
    <w:p>
      <w:r>
        <w:t>膝关节基础检查；外观；肿胀；瘀斑；畸形；皮肤；髌骨；股骨髁；胫骨平台；关节间隙；压痛；积液；屈伸；稳定性；半月板；髌股关节；远端神经血管。膝关节模板；右/左膝关节局部外观……，肿胀、皮下瘀斑及畸形情况……，皮肤情况……。髌骨、股骨髁、胫骨平台及内外侧关节间隙等部位压痛情况……。关节积液相关体征根据实际检查记录。膝关节屈伸活动情况……，活动时疼痛情况……。内外侧稳定性、交叉韧带、半月板及髌股关节相关特殊试验根据疾病特点及实际检查结果选择书写。患肢远端感觉、运动及末梢血运情况……。韧带相关检查；根据实际检查选择：</w:t>
      </w:r>
    </w:p>
    <w:p>
      <w:r>
        <w:t>Lachman试验；前抽屉试验；后抽屉试验；内翻应力试验；外翻应力试验；其他稳定性检查。急性明显疼痛、肿胀或骨折时，若未实际完成，不得自动生成阴性结果。半月板相关检查；根据实际检查选择：McMurray试验；关节间隙压痛；其他半月板相关检查。不能仅凭McMurray阳性直接替代MRI及综合临床诊断。</w:t>
      </w:r>
    </w:p>
    <w:p>
      <w:pPr>
        <w:pStyle w:val="Heading3"/>
      </w:pPr>
      <w:r>
        <w:t>踝关节</w:t>
      </w:r>
    </w:p>
    <w:p>
      <w:r>
        <w:t>踝关节重点；内踝；外踝；后踝相关区域；下胫腓联合；踝前方；肿胀；瘀斑；畸形；皮肤；水疱；压痛；活动；足趾活动；足背动脉；胫后动脉；感觉；末梢血运。踝关节模板；右/左踝关节局部肿胀情况……，可见/未见皮下瘀斑及明显畸形，皮肤及软组织情况……。内踝、外踝、下胫腓联合及其他相关部位压痛情况……，骨擦感及异常活动根据实际检查记录。踝关节背伸、跖屈及内外翻活动根据患者病情及实际检查情况书写。足趾感觉及活动情况……，足背动脉/胫后动脉搏动情况……，末梢血运情况……。踝部骨折术前软组织重点；尤其记录：肿胀程度；皮纹；皮肤张力；</w:t>
      </w:r>
    </w:p>
    <w:p>
      <w:r>
        <w:t>瘀斑；张力性水疱；开放伤；局部皮肤条件；远端神经血管。如果手术需要等待消肿，应在连续病程中动态比较软组织条件。</w:t>
      </w:r>
    </w:p>
    <w:p>
      <w:pPr>
        <w:pStyle w:val="Heading3"/>
      </w:pPr>
      <w:r>
        <w:t>足部</w:t>
      </w:r>
    </w:p>
    <w:p>
      <w:r>
        <w:t>足部检查；应具体到：前足；中足；后足；跟骨；距骨；舟骨；骰骨；楔骨；跖骨；趾骨；Lisfranc区域等。重点记录：肿胀；瘀斑；足底瘀斑；畸形；压痛；负重能力；足趾活动；感觉；足背及胫后动脉；末梢血运。足部模板；右/左足部……区域局部肿胀、瘀斑及畸形情况……，皮肤情况……。……部位压痛明显/压痛情况……，足趾活动情况……，负重情况根据实际资料记录。足部感觉情况……，足背动脉及胫后动脉搏动情况……，末梢血运……。</w:t>
      </w:r>
    </w:p>
    <w:p>
      <w:pPr>
        <w:pStyle w:val="Heading3"/>
      </w:pPr>
      <w:r>
        <w:t>颈椎</w:t>
      </w:r>
    </w:p>
    <w:p>
      <w:r>
        <w:t>颈椎检查重点；生理曲度；畸形；棘突；椎旁肌；压痛；叩击痛；活动；上肢疼痛；麻木；感觉；肌力；反射；病理征；脊髓功能；步态；大小便功能，如相关。颈椎模板；颈椎生理曲度……，未见/可见明显畸形。颈椎棘突及椎旁压痛情况……，叩击痛情况……，椎旁肌紧张情况……。颈椎前屈、后伸、侧屈及旋转活动情况……。双上肢感觉、肌力及腱反射根据实际检查记录，相关神经根及脊髓体征根据实际情况书写，病理反射不得无依据生成。</w:t>
      </w:r>
    </w:p>
    <w:p>
      <w:pPr>
        <w:pStyle w:val="Heading3"/>
      </w:pPr>
      <w:r>
        <w:t>胸腰椎</w:t>
      </w:r>
    </w:p>
    <w:p>
      <w:r>
        <w:t>胸腰椎重点；生理曲度；侧弯；后凸；棘突；椎旁压痛；叩击痛；椎旁肌；活动；双下肢感觉；肌力；反射；直腿抬高；股神经牵拉；病理反射；会阴感觉；大小便；行走能力。胸腰椎模板；胸椎/腰椎生理曲度……，未见/可见明显侧弯、后凸等畸形。……节段棘突及椎旁压痛情况……，叩击痛情况……，椎旁肌紧张情况……。腰椎前屈、后伸、侧屈及旋转活动情况……。双下肢感觉、肌力及腱反射根据实际资料记录，直腿抬高试验、加强试验、股神经牵拉试验及病理反射根据疾病特点和实际检查结果选择书写。大小便及会阴区感觉情况根据实际资料记录。</w:t>
      </w:r>
    </w:p>
    <w:p>
      <w:pPr>
        <w:pStyle w:val="Heading3"/>
      </w:pPr>
      <w:r>
        <w:t>腰椎退变性疾病</w:t>
      </w:r>
    </w:p>
    <w:p>
      <w:r>
        <w:t>腰椎间盘突出相关重点；腰痛；下肢放射痛；具体皮节；麻木；肌力；直腿抬高；加强试验；反射；足背伸/跖屈等相关功能；大小便。不得仅凭腰痛自动写坐骨神经受压。腰椎管狭窄相关重点；腰腿痛；间歇性跛行；行走距离，如实际提供；站立/后伸加重；屈曲缓解；感觉；肌力；反射；大小便。不得自行生成具体步行距离。</w:t>
      </w:r>
    </w:p>
    <w:p>
      <w:pPr>
        <w:pStyle w:val="Heading3"/>
      </w:pPr>
      <w:r>
        <w:t>脊髓及神经功能</w:t>
      </w:r>
    </w:p>
    <w:p>
      <w:r>
        <w:t>神经功能必须侧别清楚；记录肌力、感觉及反射时必须明确：左/右；上肢/下肢；具体肌群或神经分布；是否与当前影像节段对应。禁止出现左右侧神经体征混乱。肌力；只有实际检查时才使用0～5级肌力。没有具体分级时，可按用户资料采用：肌力正常；肌力减弱；活动存在；活动受限；等较保守表达。不得自行补为“肌力Ⅴ级”。感觉；根据实际检查描述：正常；减退；麻木；感觉异常；感觉缺失；并尽可能明确分布区域。不得根据影像推测患者一定存在对应皮节感觉障碍。大小便功能；脊柱、脊髓、马尾神经相关疾病应重视：排尿困难；尿潴留；尿失禁；排便异常；</w:t>
      </w:r>
    </w:p>
    <w:p>
      <w:r>
        <w:t>会阴区感觉。没有资料不得自动写“大小便功能正常”。</w:t>
      </w:r>
    </w:p>
    <w:p>
      <w:pPr>
        <w:pStyle w:val="Heading3"/>
      </w:pPr>
      <w:r>
        <w:t>上肢周围神经</w:t>
      </w:r>
    </w:p>
    <w:p>
      <w:r>
        <w:t>正中神经；根据实际情况检查：桡侧3个半手指感觉；拇指对掌；拇短展肌相关功能；其他相关功能。尺神经；根据实际情况检查：尺侧1个半手指感觉；手指外展、内收；骨间肌功能；其他相关表现。桡神经；根据实际情况检查：手背桡侧感觉；腕背伸；掌指关节伸直；拇指伸展等。腋神经；肩部损伤尤其注意：三角肌区域感觉；三角肌功能。不得根据肩关节脱位自动写腋神经损伤。</w:t>
      </w:r>
    </w:p>
    <w:p>
      <w:pPr>
        <w:pStyle w:val="Heading3"/>
      </w:pPr>
      <w:r>
        <w:t>下肢周围神经</w:t>
      </w:r>
    </w:p>
    <w:p>
      <w:r>
        <w:t>坐骨神经及主要分支；根据损伤部位选择评估：腓总神经；胫神经；腓深神经；腓浅神经；其他相关神经。腓总神经相关检查；重点可包括：足背感觉；踝背伸；足趾背伸；足外翻等。胫神经相关检查；重点可包括：足底感觉；踝跖屈；足趾屈曲等。所有结果必须来自实际检查。</w:t>
      </w:r>
    </w:p>
    <w:p>
      <w:pPr>
        <w:pStyle w:val="Heading3"/>
      </w:pPr>
      <w:r>
        <w:t>肌腱损伤</w:t>
      </w:r>
    </w:p>
    <w:p>
      <w:r>
        <w:t>肌腱检查原则；肌腱损伤应根据具体肌腱进行针对性功能检查。不能只写：“患肢活动受限。”应在资料支持时明确：哪一动作不能完成；主动活动是否存在；被动活动是否存在；肌腱连续性是否可判断；远端感觉和血运。跟腱；根据实际检查可记录：跟腱区域凹陷；压痛；跖屈功能；Thompson试验。未实际完成Thompson试验时不得自动写阳性。</w:t>
      </w:r>
    </w:p>
    <w:p>
      <w:pPr>
        <w:pStyle w:val="Heading3"/>
      </w:pPr>
      <w:r>
        <w:t>运动医学</w:t>
      </w:r>
    </w:p>
    <w:p>
      <w:r>
        <w:t>运动医学检查原则；运动医学患者的专科检查应突出：疼痛部位；活动范围；稳定性；肌力；特定动作诱发；相关特殊试验；功能障碍。不得把所有关节特殊试验一次性全部罗列。急性期特殊情况；明显疼痛、肿胀、肌肉保护性痉挛等可能影响特殊试验可靠性。如果实际检查受限，可写：“因局部疼痛明显，相关稳定性检查配合受限。”不得因此自行填写阴性。</w:t>
      </w:r>
    </w:p>
    <w:p>
      <w:pPr>
        <w:pStyle w:val="Heading3"/>
      </w:pPr>
      <w:r>
        <w:t>关节置换相关检查</w:t>
      </w:r>
    </w:p>
    <w:p>
      <w:r>
        <w:t>髋关节置换术前；重点：疼痛；活动范围；下肢长度；步态；髋周压痛；远端神经血管；既往切口；皮肤软组织；功能受限程度。髋关节置换术后；根据实际资料重点：切口；局部肿胀；患肢长度及旋转；感觉；运动；末梢血运；髋关节功能；活动及负重阶段。不得仅根据“术后”自动写双下肢等长或假体位置良好。假体位置属于影像评价，不得以专科查体替代。膝关节置换术前；重点：膝内翻/外翻畸形；屈曲挛缩；关节活动度；压痛；稳定性；下肢力线相关外观；远端神经血管；皮肤软组织。具体角度必须实际测量。膝关节置换术后；重点：切口；肿胀；关节活动；</w:t>
      </w:r>
    </w:p>
    <w:p>
      <w:r>
        <w:t>下肢神经血管；功能锻炼；负重状态；疼痛变化。假体位置必须依据影像，不得仅凭查体判断。</w:t>
      </w:r>
    </w:p>
    <w:p>
      <w:pPr>
        <w:pStyle w:val="Heading3"/>
      </w:pPr>
      <w:r>
        <w:t>石膏、夹板及支具</w:t>
      </w:r>
    </w:p>
    <w:p>
      <w:r>
        <w:t>固定后检查重点；使用石膏、夹板或支具时，应根据实际资料关注：1.固定位置。2.固定是否妥善。3.是否过紧或松动。4.局部压迫。5.肢端肿胀。6.皮肤颜色。7.感觉。8.运动。9.末梢血运。10.疼痛是否异常增加。固定状态模板；患肢目前予……固定，固定状态……，肢端肿胀情况……，感觉及活动情况……，末梢血运情况……。继续观察固定松紧度及肢端疼痛、肿胀、感觉、运动和血运变化。固定方式必须来自实际资料。</w:t>
      </w:r>
    </w:p>
    <w:p>
      <w:pPr>
        <w:pStyle w:val="Heading3"/>
      </w:pPr>
      <w:r>
        <w:t>牵引</w:t>
      </w:r>
    </w:p>
    <w:p>
      <w:r>
        <w:t>牵引患者重点；根据牵引方式观察：牵引装置；牵引方向；患肢位置；牵引是否有效；针道情况，如骨牵引；局部皮肤；患肢感觉运动；末梢血运。牵引重量不得自行生成。</w:t>
      </w:r>
    </w:p>
    <w:p>
      <w:pPr>
        <w:pStyle w:val="Heading3"/>
      </w:pPr>
      <w:r>
        <w:t>外固定架</w:t>
      </w:r>
    </w:p>
    <w:p>
      <w:r>
        <w:t>外固定架检查重点；1.外固定架是否在位。2.稳定情况。3.针道。4.针道红肿。5.渗液。6.松动。7.局部皮肤。8.患肢感觉运动。9.末梢血运。未提供时不得自动写“针道无渗液”。</w:t>
      </w:r>
    </w:p>
    <w:p>
      <w:pPr>
        <w:pStyle w:val="Heading3"/>
      </w:pPr>
      <w:r>
        <w:t>VSD及开放创面</w:t>
      </w:r>
    </w:p>
    <w:p>
      <w:r>
        <w:t>VSD重点；1.敷料。2.密闭性。3.负压状态。4.管路。5.堵管。6.漏气。7.引流液颜色。8.引流液性质。9.引流量。10.创面周围皮肤。具体负压数值和引流量必须来自真实资料。VSD模板；创面VSD装置目前……，敷料及密闭情况……，负压运行情况……，引流管路……，引流液颜色、性质及量根据实际资料记录，创面周围皮肤情况……。继续保持装置有效运行并观察引流及创面变化。</w:t>
      </w:r>
    </w:p>
    <w:p>
      <w:pPr>
        <w:pStyle w:val="Heading3"/>
      </w:pPr>
      <w:r>
        <w:t>术后专科检查</w:t>
      </w:r>
    </w:p>
    <w:p>
      <w:r>
        <w:t>术后通用检查逻辑；术后专科检查重点从“证明原始损伤”转为：切口；→敷料；→渗血渗液；→肿胀；→引流/VSD；→固定；→患肢感觉；→运动；→末梢血运；→功能恢复。不应术后每日继续机械描述术前的骨擦感、异常活动等内容。术后通用模板；手术部位切口/敷料情况……，局部肿胀情况……，引流管/VSD状态根据实际资料记录。患肢固定情况……，远端感觉、运动及末梢血运情况……，相关关节活动及功能锻炼情况根据当前术后阶段和实际资料书写。术后神经血管对比</w:t>
      </w:r>
    </w:p>
    <w:p>
      <w:r>
        <w:t>涉及骨折复位、内固定、关节置换、脊柱、周围神经附近手术时，应特别注意术后神经血管情况是否较术前发生变化。没有术前数据时，不得自行写：“较术前明显改善。”没有术后实际检查时，也不得自行写：“神经功能正常。”</w:t>
      </w:r>
    </w:p>
    <w:p>
      <w:pPr>
        <w:pStyle w:val="Heading3"/>
      </w:pPr>
      <w:r>
        <w:t>脊柱术后专科检查</w:t>
      </w:r>
    </w:p>
    <w:p>
      <w:r>
        <w:t>脊柱术后重点；1.切口。2.引流。3.颈背腰部疼痛。4.双上肢或双下肢感觉。5.肌力。6.神经功能。7.大小便功能。8.脑脊液漏相关表现。9.术前症状变化。10.活动及支具情况。脊柱术后模板；手术切口及敷料情况……，引流情况……。患者术前相关疼痛、麻木等症状变化根据实际资料书写。双上肢/双下肢感觉、肌力及相关神经功能情况……，大小便情况……。支具使用及活动情况根据实际资料记录。继续动态观察神经功能、切口及引流变化。不得无依据写“未见脑脊液漏”。如有相关风险但无明确资料，可写“继续观察有无脑脊液漏相关表现”。</w:t>
      </w:r>
    </w:p>
    <w:p>
      <w:pPr>
        <w:pStyle w:val="Heading3"/>
      </w:pPr>
      <w:r>
        <w:t>检查内容的动态选择</w:t>
      </w:r>
    </w:p>
    <w:p>
      <w:r>
        <w:t>入院时；重点：原始损伤或疾病表现；阳性体征；重要阴性体征；神经血管状态；功能状态。等待手术时；重点：肿胀变化；皮肤皱褶/皮纹；水疱；创面；软组织条件；神经血管；固定状态。不要每天完整重复入院专科检查。手术前；重点：局部软组织条件；神经血管状态；伤口；肿胀；固定；与手术安全直接相关的情况。手术后；重点：切口；敷料；引流；固定；感觉；运动；血运；功能恢复；术后特殊风险。准备出院时；重点：切口/伤口；固定装置；神经血管；关节活动；功能状态；负重状态；仍需继续管理的问题。</w:t>
      </w:r>
    </w:p>
    <w:p>
      <w:pPr>
        <w:pStyle w:val="Heading3"/>
      </w:pPr>
      <w:r>
        <w:t>专科检查与影像的关系</w:t>
      </w:r>
    </w:p>
    <w:p>
      <w:r>
        <w:t>查体与影像相互印证但不能相互替代；例如：查体：“左外踝区域压痛明显。”影像：“左外踝骨折。”可以形成诊断依据。但不能因为影像存在外踝骨折，就自动把专科检查写成：“外踝骨擦感明显、异常活动阳性。”影像不能反推神经血管查体；影像显示骨折移位明显，不代表一定存在：神经损伤；血管损伤；感觉障碍；末梢血运异常。必须依据实际临床检查。</w:t>
      </w:r>
    </w:p>
    <w:p>
      <w:pPr>
        <w:pStyle w:val="Heading3"/>
      </w:pPr>
      <w:r>
        <w:t>专科检查与诊断的关系</w:t>
      </w:r>
    </w:p>
    <w:p>
      <w:r>
        <w:t>检查只写事实；专科检查正文原则上描述客观体征。例如：“左踝局部明显肿胀，可见皮下瘀斑，外踝及后踝区域压痛明显。”不要直接在专科检查中写：“考虑旋后外旋型Ⅲ度骨折。”骨折分型属于综合诊断及影像分析层级。特殊试验不能单独决定诊断；任何单一特殊试验结果原则上需要结合：病史；症状；其他查体；影像；综合判断。</w:t>
      </w:r>
    </w:p>
    <w:p>
      <w:pPr>
        <w:pStyle w:val="Heading1"/>
      </w:pPr>
      <w:r>
        <w:t>典型模拟病例</w:t>
      </w:r>
    </w:p>
    <w:p>
      <w:r>
        <w:t>以下全部为虚构病例，仅演示规则。虚构O003，胫骨骨折，足背动脉可触，疼痛持续加重，尚未查被动牵伸痛。</w:t>
      </w:r>
    </w:p>
    <w:p>
      <w:pPr>
        <w:keepNext/>
      </w:pPr>
      <w:r>
        <w:t>2026年10月25日 09:00 专科评估记录</w:t>
      </w:r>
    </w:p>
    <w:p>
      <w:pPr>
        <w:pStyle w:val="Fence"/>
        <w:keepNext/>
      </w:pPr>
      <w:r>
        <w:t>```text</w:t>
      </w:r>
    </w:p>
    <w:p>
      <w:pPr>
        <w:pStyle w:val="MedicalBody"/>
        <w:keepNext/>
        <w:keepLines/>
      </w:pPr>
      <w:r>
        <w:t>患者胫骨骨折后疼痛持续加重，足背动脉可触及。现有动脉搏动不能排除筋膜室综合征，尚需及时评估疼痛变化、镇痛需求、相关感觉运动及其他可完成项目；未实施的被动牵伸检查不能写阴性。</w:t>
      </w:r>
    </w:p>
    <w:p>
      <w:pPr>
        <w:pStyle w:val="Fence"/>
      </w:pPr>
      <w:r>
        <w:t>```</w:t>
      </w:r>
    </w:p>
    <w:p>
      <w:pPr>
        <w:pStyle w:val="Heading1"/>
      </w:pPr>
      <w:r>
        <w:t>禁止事项及常见错误</w:t>
      </w:r>
    </w:p>
    <w:p>
      <w:r>
        <w:t>禁止串患者、侧别/节段混写、将计划写已实施、虚构神经血运与特殊试验、补量表与骨折分型、虚构手术植入物和医师意见。常见错误为把疼痛减轻写成骨愈合，把有脉搏写成排除筋膜室综合征，把CRP或D-二聚体单升高写感染/DVT，把术后日当作负重或拔管许可。</w:t>
      </w:r>
    </w:p>
    <w:p>
      <w:pPr>
        <w:pStyle w:val="Heading1"/>
      </w:pPr>
      <w:r>
        <w:t>质量控制及模块协同</w:t>
      </w:r>
    </w:p>
    <w:p>
      <w:r>
        <w:t>每次任务强制01＋11，按任务选02—09及相关101—108，最终10终审。03提供实查/定位，04分原文与分析，05管理实际操作和器械，06处理急变，07核治疗执行，08核真实上级意见，09核活动负重和随访；不无差别加载20模块。</w:t>
      </w:r>
    </w:p>
    <w:p>
      <w:r>
        <w:t>核对患者/住院/损伤事件、日期、侧别部位、诊断依据及确定度、实际操作、植入物和装置、药物执行、并发症证据、负重许可与执行能力、出院计划和代码框。严重冲突阻断受影响结论，不能以省略关键问题掩盖风险。</w:t>
      </w:r>
    </w:p>
    <w:p>
      <w:pPr>
        <w:pStyle w:val="Heading1"/>
      </w:pPr>
      <w:r>
        <w:t>指南及资料来源</w:t>
      </w:r>
    </w:p>
    <w:p>
      <w:r>
        <w:t>核验基准为2026年10月25日。每项标明已核验范围；未核到全文、具体推荐或证据等级者不补造。国际来源须结合国内规范、批准范围及院内制度。检索未见更新不能宣称绝对最新；不同人群、版本和证据分级不拼接。</w:t>
      </w:r>
    </w:p>
    <w:p>
      <w:r>
        <w:t>[R01] 病历书写基本规范。卫生部，2010，卫医政发〔2010〕11号。官方发布和文书基本要求已核验。</w:t>
      </w:r>
    </w:p>
    <w:p>
      <w:r>
        <w:t>https://www.nhc.gov.cn/wjw/c100175/201002/b1bec53d90f243e0861529723f00221a.shtml</w:t>
      </w:r>
    </w:p>
    <w:p>
      <w:r>
        <w:t>[R02] 医疗质量安全核心制度要点。国家卫生健康委，2018，国卫医发〔2018〕8号。官方发布和核心制度适用范围已核验。</w:t>
      </w:r>
    </w:p>
    <w:p>
      <w:r>
        <w:t>https://www.nhc.gov.cn/yzygj/c100068/201804/42ab2552298047679cd6ec733f233862.shtml</w:t>
      </w:r>
    </w:p>
    <w:p>
      <w:r>
        <w:t>[R04] Fractures complex assessment and management NG37。NICE，2016；官网最近更新2022-11-23。官方开放骨折及复杂损伤章节已核验，英国流程不能直接作为中国法律时限。</w:t>
      </w:r>
    </w:p>
    <w:p>
      <w:r>
        <w:t>https://www.nice.org.uk/guidance/ng37/chapter/recommendations</w:t>
      </w:r>
    </w:p>
    <w:p>
      <w:r>
        <w:t>[R07] Diagnosis and Management of Compartment Syndrome of the Extremities。BOASt，2025年7月更新。官方动态评估、记录及立即升级处理要求已核验。</w:t>
      </w:r>
    </w:p>
    <w:p>
      <w:r>
        <w:t>https://www.boa.ac.uk/resource/boast-10-pdf.html</w:t>
      </w:r>
    </w:p>
    <w:p>
      <w:r>
        <w:t>[R08] Diagnosis and management of arterial injuries associated with musculoskeletal trauma。BOASt，2026年6月。官方急性血管损伤标准已核验；明确排除儿童肱骨髁上骨折，该类另用R09。</w:t>
      </w:r>
    </w:p>
    <w:p>
      <w:r>
        <w:t>https://www.boa.ac.uk/resource/diagnosis-and-management-of-arterial-injuries-associated-with-musculoskeletal-trauma.html</w:t>
      </w:r>
    </w:p>
    <w:p>
      <w:r>
        <w:t>[R09] Supracondylar Fractures of the Humerus in Children。BOASt，2020年10月更新。官方神经血运实查、复位前后复评及缺血处理范围已核验。</w:t>
      </w:r>
    </w:p>
    <w:p>
      <w:r>
        <w:t>https://www.boa.ac.uk/resource/boast-11-pdf.html</w:t>
      </w:r>
    </w:p>
    <w:p>
      <w:r>
        <w:t>[R10] International Standards for Neurological Classification of Spinal Cord Injury Revised 2019。ASIA与ISCoS，2019修订。官方修订发布与评估目的已核验；完整评分及后续勘误需按正式表。</w:t>
      </w:r>
    </w:p>
    <w:p>
      <w:r>
        <w:t>https://asia-spinalinjury.org/wp-content/uploads/newsletters/2019/spring/ISNCSCI-2019.html</w:t>
      </w:r>
    </w:p>
    <w:p>
      <w:r>
        <w:t>[R14] Management of Carpal Tunnel Syndrome。AAOS/ASSH，2024。原始指南组摘要与成人诊断范围已核验；CTS6须真实项目，不能自动评分。</w:t>
      </w:r>
    </w:p>
    <w:p>
      <w:r>
        <w:t>https://pmc.ncbi.nlm.nih.gov/articles/PMC11928260/</w:t>
      </w:r>
    </w:p>
    <w:p>
      <w:pPr>
        <w:pStyle w:val="Heading1"/>
      </w:pPr>
      <w:r>
        <w:t>更新与维护说明</w:t>
      </w:r>
    </w:p>
    <w:p>
      <w:r>
        <w:t>本版承接原《骨科专科检查模板库》V1.0，统一为00/01、02—11、101—108三级编号与同文件夹20份Word。原文件保留在原目录，本更新版独立保存。科室负责人、相关亚专科及病案质控共同审校；至少季度复核来源，重要指南/说明书/院内制度变更时及时修订并重跑验收。</w:t>
      </w:r>
    </w:p>
    <w:p>
      <w:r>
        <w:t>本库为Word规则与模板，未部署电子病历接口、后台调度或数据库。使用AI时需提供01、11及相关模块和当前病例状态；不能声称读取未提供的文件或拥有可靠跨会话记忆。真实医师审校及院内试用不由规则级模拟验收替代。</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03  骨科AI病历系统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Songti SC" w:hAnsi="Songti SC"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ongti SC" w:hAnsi="Songti SC"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ongti SC" w:hAnsi="Songti SC"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Songti SC" w:hAnsi="Songti SC" w:eastAsia="Songti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color w:val="000000"/>
    </w:rPr>
  </w:style>
  <w:style w:type="paragraph" w:styleId="BodyText">
    <w:name w:val="Body Text"/>
    <w:basedOn w:val="Normal"/>
    <w:link w:val="BodyTextChar"/>
    <w:uiPriority w:val="99"/>
    <w:unhideWhenUsed/>
    <w:rsid w:val="00AA1D8D"/>
    <w:pPr>
      <w:spacing w:after="120"/>
    </w:pPr>
    <w:rPr>
      <w:rFonts w:ascii="Songti SC" w:hAnsi="Songti SC" w:eastAsia="Song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color w:val="000000"/>
    </w:rPr>
  </w:style>
  <w:style w:type="paragraph" w:styleId="List2">
    <w:name w:val="List 2"/>
    <w:basedOn w:val="Normal"/>
    <w:uiPriority w:val="99"/>
    <w:unhideWhenUsed/>
    <w:rsid w:val="00326F90"/>
    <w:pPr>
      <w:ind w:left="720" w:hanging="360"/>
      <w:contextualSpacing/>
    </w:pPr>
    <w:rPr>
      <w:rFonts w:ascii="Songti SC" w:hAnsi="Songti SC" w:eastAsia="Songti SC"/>
      <w:color w:val="000000"/>
    </w:rPr>
  </w:style>
  <w:style w:type="paragraph" w:styleId="List3">
    <w:name w:val="List 3"/>
    <w:basedOn w:val="Normal"/>
    <w:uiPriority w:val="99"/>
    <w:unhideWhenUsed/>
    <w:rsid w:val="00326F90"/>
    <w:pPr>
      <w:ind w:left="1080" w:hanging="360"/>
      <w:contextualSpacing/>
    </w:pPr>
    <w:rPr>
      <w:rFonts w:ascii="Songti SC" w:hAnsi="Songti SC" w:eastAsia="Songti SC"/>
      <w:color w:val="000000"/>
    </w:rPr>
  </w:style>
  <w:style w:type="paragraph" w:styleId="ListBullet">
    <w:name w:val="List Bullet"/>
    <w:basedOn w:val="Normal"/>
    <w:uiPriority w:val="99"/>
    <w:unhideWhenUsed/>
    <w:rsid w:val="00326F90"/>
    <w:pPr>
      <w:numPr>
        <w:numId w:val="1"/>
      </w:numPr>
      <w:contextualSpacing/>
    </w:pPr>
    <w:rPr>
      <w:rFonts w:ascii="Songti SC" w:hAnsi="Songti SC" w:eastAsia="Songti SC"/>
      <w:color w:val="000000"/>
    </w:rPr>
  </w:style>
  <w:style w:type="paragraph" w:styleId="ListBullet2">
    <w:name w:val="List Bullet 2"/>
    <w:basedOn w:val="Normal"/>
    <w:uiPriority w:val="99"/>
    <w:unhideWhenUsed/>
    <w:rsid w:val="00326F90"/>
    <w:pPr>
      <w:numPr>
        <w:numId w:val="2"/>
      </w:numPr>
      <w:contextualSpacing/>
    </w:pPr>
    <w:rPr>
      <w:rFonts w:ascii="Songti SC" w:hAnsi="Songti SC" w:eastAsia="Songti SC"/>
      <w:color w:val="000000"/>
    </w:rPr>
  </w:style>
  <w:style w:type="paragraph" w:styleId="ListBullet3">
    <w:name w:val="List Bullet 3"/>
    <w:basedOn w:val="Normal"/>
    <w:uiPriority w:val="99"/>
    <w:unhideWhenUsed/>
    <w:rsid w:val="00326F90"/>
    <w:pPr>
      <w:numPr>
        <w:numId w:val="3"/>
      </w:numPr>
      <w:contextualSpacing/>
    </w:pPr>
    <w:rPr>
      <w:rFonts w:ascii="Songti SC" w:hAnsi="Songti SC" w:eastAsia="Songti SC"/>
      <w:color w:val="000000"/>
    </w:rPr>
  </w:style>
  <w:style w:type="paragraph" w:styleId="ListNumber">
    <w:name w:val="List Number"/>
    <w:basedOn w:val="Normal"/>
    <w:uiPriority w:val="99"/>
    <w:unhideWhenUsed/>
    <w:rsid w:val="00326F90"/>
    <w:pPr>
      <w:numPr>
        <w:numId w:val="5"/>
      </w:numPr>
      <w:contextualSpacing/>
    </w:pPr>
    <w:rPr>
      <w:rFonts w:ascii="Songti SC" w:hAnsi="Songti SC" w:eastAsia="Songti SC"/>
      <w:color w:val="000000"/>
    </w:rPr>
  </w:style>
  <w:style w:type="paragraph" w:styleId="ListNumber2">
    <w:name w:val="List Number 2"/>
    <w:basedOn w:val="Normal"/>
    <w:uiPriority w:val="99"/>
    <w:unhideWhenUsed/>
    <w:rsid w:val="0029639D"/>
    <w:pPr>
      <w:numPr>
        <w:numId w:val="6"/>
      </w:numPr>
      <w:contextualSpacing/>
    </w:pPr>
    <w:rPr>
      <w:rFonts w:ascii="Songti SC" w:hAnsi="Songti SC" w:eastAsia="Songti SC"/>
      <w:color w:val="000000"/>
    </w:rPr>
  </w:style>
  <w:style w:type="paragraph" w:styleId="ListNumber3">
    <w:name w:val="List Number 3"/>
    <w:basedOn w:val="Normal"/>
    <w:uiPriority w:val="99"/>
    <w:unhideWhenUsed/>
    <w:rsid w:val="0029639D"/>
    <w:pPr>
      <w:numPr>
        <w:numId w:val="7"/>
      </w:numPr>
      <w:contextualSpacing/>
    </w:pPr>
    <w:rPr>
      <w:rFonts w:ascii="Songti SC" w:hAnsi="Songti SC" w:eastAsia="Songti SC"/>
      <w:color w:val="000000"/>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color w:val="000000"/>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color w:val="000000"/>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Body">
    <w:name w:val="Medical Body"/>
    <w:basedOn w:val="Normal"/>
    <w:pPr>
      <w:spacing w:after="60"/>
    </w:pPr>
  </w:style>
  <w:style w:type="paragraph" w:customStyle="1" w:styleId="Fence">
    <w:name w:val="Fence"/>
    <w:basedOn w:val="Normal"/>
    <w:pPr>
      <w:spacing w:after="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骨科专科检查与解剖定位模板库</dc:title>
  <dc:subject>骨科病历辅助规则与模板 V2.0</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