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04 骨科检验影像病理及特殊检查结果分析模板库</w:t>
      </w:r>
    </w:p>
    <w:p>
      <w:r>
        <w:t>版本 V2.0  |  更新与核验日期 2026年10月25日  |  第二级模块</w:t>
      </w:r>
    </w:p>
    <w:p>
      <w:r>
        <w:t>将影像检验病理微生物原文与临床判断分开，并管理测量和回报时间。 用于医师审核前的医学文书辅助，实际诊疗、操作授权、知情沟通及签名由具备权限的医务人员完成。</w:t>
      </w:r>
    </w:p>
    <w:p>
      <w:pPr>
        <w:pStyle w:val="Heading1"/>
      </w:pPr>
      <w:r>
        <w:t>一 模块定位及适用范围</w:t>
      </w:r>
    </w:p>
    <w:p>
      <w:r>
        <w:t>功能定位：将影像检验病理微生物原文与临床判断分开，并管理测量和回报时间。</w:t>
      </w:r>
    </w:p>
    <w:p>
      <w:r>
        <w:t>核心任务：在事实可追溯、诊断分层和状态准确的前提下，形成骨科专用分析与完整正文。</w:t>
      </w:r>
    </w:p>
    <w:p>
      <w:r>
        <w:t>适用范围：骨科普通病房、创伤、脊柱、关节、运动医学、手足显微、骨感染、骨肿瘤及儿童骨科；仅对本模块相关问题生效。</w:t>
      </w:r>
    </w:p>
    <w:p>
      <w:r>
        <w:t>自动调用条件：检查整理、报告图片提取、阅片分析、趋势比较或病理培养回报。</w:t>
      </w:r>
    </w:p>
    <w:p>
      <w:pPr>
        <w:pStyle w:val="Heading1"/>
      </w:pPr>
      <w:r>
        <w:t>二 最高书写及医学分析原则</w:t>
      </w:r>
    </w:p>
    <w:p>
      <w:r>
        <w:t>每条病例事实同时绑定患者、本次住院、损伤/病灶及操作事件、发生时间、记录时间、来源和核验状态。医学知识、医师拟定、已开医嘱、实际执行、暂停/停用/取消分开。未知不等于阴性，未记录不等于未发生，影像修复不等于功能恢复；模拟病例和模板变量不得写入真实患者事实。</w:t>
      </w:r>
    </w:p>
    <w:p>
      <w:r>
        <w:t>所有医学文书按“代码框外日期时间和文书标题＋独立Markdown text代码框内实际正文”输出；不添加“医学文书正文”标签、AI前言或无关备注。日常病程、换药观察、术后日常及三级医师查房正文为连续完整一整段，无空行、不分条；入院、首次病程、手术记录、讨论、抢救和出院等固定栏目文书可保留必要结构。文书题头日期不在框内重复；抢救/治疗等临床必需事件时间应保留。正式正文不得含未替换占位符；缺失关键资料时在框外列核对项，不编造。</w:t>
      </w:r>
    </w:p>
    <w:p>
      <w:r>
        <w:t>先明确损伤机制/疾病病程，再核对侧别和精确解剖、皮肤软组织、骨关节稳定性、神经血管、影像病理、治疗阶段和功能目标。分型/评分必须注明体系与版本并有实际依据，不把常见表现或标准步骤补成患者事实。结构模板中的【字段】仅作变量，正式输出须替换或删除；虚构模拟病例不得继承。</w:t>
      </w:r>
    </w:p>
    <w:p>
      <w:pPr>
        <w:pStyle w:val="Heading1"/>
      </w:pPr>
      <w:r>
        <w:t>三 原文整理与临床分析双模式</w:t>
      </w:r>
    </w:p>
    <w:p>
      <w:r>
        <w:t>原文模式逐项保留检查/标本名称、患者检查号、采集与报告时间、部位侧别、单位、所见和意见、不确定词和建议。OCR不清处在正式正文外核对，不修成猜测结果。临床模式先事实再分析其与疼痛、软组织、稳定、神经血管和治疗阶段的对应及限制。</w:t>
      </w:r>
    </w:p>
    <w:p>
      <w:pPr>
        <w:keepNext/>
      </w:pPr>
      <w:r>
        <w:t>【文书日期及时间】 检查原文整理</w:t>
      </w:r>
    </w:p>
    <w:p>
      <w:pPr>
        <w:pStyle w:val="Fence"/>
        <w:keepNext/>
      </w:pPr>
      <w:r>
        <w:t>```text</w:t>
      </w:r>
    </w:p>
    <w:p>
      <w:pPr>
        <w:pStyle w:val="MedicalBody"/>
        <w:keepNext/>
        <w:keepLines/>
      </w:pPr>
      <w:r>
        <w:t>检查/标本名称：【原名】</w:t>
      </w:r>
    </w:p>
    <w:p>
      <w:pPr>
        <w:pStyle w:val="MedicalBody"/>
        <w:keepNext/>
        <w:keepLines/>
      </w:pPr>
      <w:r>
        <w:t>采集或检查时间：【实际】</w:t>
      </w:r>
    </w:p>
    <w:p>
      <w:pPr>
        <w:pStyle w:val="MedicalBody"/>
        <w:keepNext/>
        <w:keepLines/>
      </w:pPr>
      <w:r>
        <w:t>报告时间：【实际】</w:t>
      </w:r>
    </w:p>
    <w:p>
      <w:pPr>
        <w:pStyle w:val="MedicalBody"/>
        <w:keepNext/>
        <w:keepLines/>
      </w:pPr>
      <w:r>
        <w:t>所见：【核实原文】</w:t>
      </w:r>
    </w:p>
    <w:p>
      <w:pPr>
        <w:pStyle w:val="MedicalBody"/>
        <w:keepNext/>
        <w:keepLines/>
      </w:pPr>
      <w:r>
        <w:t>意见：【核实原文及不确定性】</w:t>
      </w:r>
    </w:p>
    <w:p>
      <w:pPr>
        <w:pStyle w:val="Fence"/>
      </w:pPr>
      <w:r>
        <w:t>```</w:t>
      </w:r>
    </w:p>
    <w:p>
      <w:pPr>
        <w:keepNext/>
      </w:pPr>
      <w:r>
        <w:t>【文书日期及时间】 检查结果临床分析</w:t>
      </w:r>
    </w:p>
    <w:p>
      <w:pPr>
        <w:pStyle w:val="Fence"/>
        <w:keepNext/>
      </w:pPr>
      <w:r>
        <w:t>```text</w:t>
      </w:r>
    </w:p>
    <w:p>
      <w:pPr>
        <w:pStyle w:val="MedicalBody"/>
        <w:keepNext/>
        <w:keepLines/>
      </w:pPr>
      <w:r>
        <w:t>【实际检查时间及名称】显示【真实结果】，与【本例症状查体】在【部位侧别及病程】方面【对应程度】，支持【诊断确定度】，但不能确定【证据缺口】。对当前治疗的意义【有依据分析】，下一步【实际拟定复查或复阅】。</w:t>
      </w:r>
    </w:p>
    <w:p>
      <w:pPr>
        <w:pStyle w:val="Fence"/>
      </w:pPr>
      <w:r>
        <w:t>```</w:t>
      </w:r>
    </w:p>
    <w:p>
      <w:pPr>
        <w:pStyle w:val="Heading1"/>
      </w:pPr>
      <w:r>
        <w:t>四 高风险结果的证据边界</w:t>
      </w:r>
    </w:p>
    <w:p>
      <w:pPr>
        <w:pStyle w:val="Heading2"/>
      </w:pPr>
      <w:r>
        <w:t>骨折及术后影像</w:t>
      </w:r>
    </w:p>
    <w:p>
      <w:r>
        <w:t>新旧片模态、体位、时间及术前术后区分；固定物在位不等于机械稳定，骨痂不等于已愈合或可负重。</w:t>
      </w:r>
    </w:p>
    <w:p>
      <w:pPr>
        <w:pStyle w:val="Heading2"/>
      </w:pPr>
      <w:r>
        <w:t>MRI软组织及脊柱</w:t>
      </w:r>
    </w:p>
    <w:p>
      <w:r>
        <w:t>信号异常不自动为完全断裂；多节段退变不等于全部责任或手术节段。</w:t>
      </w:r>
    </w:p>
    <w:p>
      <w:pPr>
        <w:pStyle w:val="Heading2"/>
      </w:pPr>
      <w:r>
        <w:t>CRP WBC ESR</w:t>
      </w:r>
    </w:p>
    <w:p>
      <w:r>
        <w:t>创伤和术后反应、感染与其他炎症结合；单值不能确诊FRI/PJI。</w:t>
      </w:r>
    </w:p>
    <w:p>
      <w:pPr>
        <w:pStyle w:val="Heading2"/>
      </w:pPr>
      <w:r>
        <w:t>D二聚体及血栓影像</w:t>
      </w:r>
    </w:p>
    <w:p>
      <w:r>
        <w:t>升高不是DVT，未检查的超声不能补阴性；风险与确诊分开。</w:t>
      </w:r>
    </w:p>
    <w:p>
      <w:pPr>
        <w:pStyle w:val="Heading2"/>
      </w:pPr>
      <w:r>
        <w:t>血红蛋白及凝血</w:t>
      </w:r>
    </w:p>
    <w:p>
      <w:r>
        <w:t>下降可有多因素，不能自动写活动出血/输血；抗凝种类与凝血指标局限需核对。</w:t>
      </w:r>
    </w:p>
    <w:p>
      <w:pPr>
        <w:pStyle w:val="Heading2"/>
      </w:pPr>
      <w:r>
        <w:t>深部微生物</w:t>
      </w:r>
    </w:p>
    <w:p>
      <w:r>
        <w:t>部位、份数、抗菌暴露、菌种药敏和污染风险，不把窦道拭子视为深部唯一致病菌。</w:t>
      </w:r>
    </w:p>
    <w:p>
      <w:pPr>
        <w:pStyle w:val="Heading2"/>
      </w:pPr>
      <w:r>
        <w:t>病理及分子</w:t>
      </w:r>
    </w:p>
    <w:p>
      <w:r>
        <w:t>活检、术中快速、石蜡及复核各有回报时间；保留考虑/倾向，不在病理回报前套最终名称。</w:t>
      </w:r>
    </w:p>
    <w:p>
      <w:pPr>
        <w:pStyle w:val="Heading2"/>
      </w:pPr>
      <w:r>
        <w:t>骨密度及生长测量</w:t>
      </w:r>
    </w:p>
    <w:p>
      <w:r>
        <w:t>部位设备、T/Z适用人群及来源；儿童年龄不能直接给骨龄，影像长度角度不凭照片估算。</w:t>
      </w:r>
    </w:p>
    <w:p>
      <w:pPr>
        <w:pStyle w:val="Heading1"/>
      </w:pPr>
      <w:r>
        <w:t>原有专科细则修订整合</w:t>
      </w:r>
    </w:p>
    <w:p>
      <w:r>
        <w:t>以下保留并整理原库的专科采集、分析及观察细则；属于规则和知识说明，不是患者已发生的事实。下列举例不能直接当作真实病程，正式正文使用本版结构模板并受01、10、11约束。</w:t>
      </w:r>
    </w:p>
    <w:p>
      <w:pPr>
        <w:pStyle w:val="Heading3"/>
      </w:pPr>
      <w:r>
        <w:t>辅助检查处理总流程</w:t>
      </w:r>
    </w:p>
    <w:p>
      <w:r>
        <w:t>任何检查分析前先完成身份核对；处理检验、影像、病理、培养及其他检查前，内部必须首先核对：1.患者姓名。2.性别。3.年龄，如资料可见。4.检查日期。5.检查时间，如有。6.检查类型。7.检查部位。8.左右侧。9.是否属于当前患者。10.是否符合当前住院时间轴。11.属于术前还是术后。12.如为术后，当前术后阶段是否明确。若同批检查中患者姓名或性别不一致，停止合并分析并提醒用户核对。若左右侧与当前病例存在重大冲突，停止正式文书生成并提醒核对。检查结果处理的两个模式；系统必须首先判断用户要求属于：A.原始报告整理模式。</w:t>
      </w:r>
    </w:p>
    <w:p>
      <w:r>
        <w:t>B.临床分析模式。两者不得混淆。原始报告整理模式；适用于用户要求：“把报告抄下来。”“整理一下影像报告。”“诊断所见和诊断意见给我。”“按照报告原文整理。”“把这个检查单整理出来。”此时任务核心是：忠实提取原始检查内容。不得擅自增加临床分析。不得自行修改诊断层级。不得根据医学知识纠正、扩展或替换原报告内容。临床分析模式；适用于用户要求：“分析一下。”“分析化验单。”“分析影像。”“把检查结果分析写进病程。”“主任查房并分析报告。”“这个结果有什么意义。”此时采用：原始结果；→主要异常；→临床意义</w:t>
      </w:r>
    </w:p>
    <w:p>
      <w:r>
        <w:t>→结合当前骨科病情解释；→对当前治疗阶段的影响；→必要的进一步检查或动态观察；的逻辑分析。</w:t>
      </w:r>
    </w:p>
    <w:p>
      <w:pPr>
        <w:pStyle w:val="Heading3"/>
      </w:pPr>
      <w:r>
        <w:t>原始影像报告整理规则</w:t>
      </w:r>
    </w:p>
    <w:p>
      <w:r>
        <w:t>影像报告原文整理格式；用户要求整理X线、CT、MRI等报告时，原则上采用：检查名称：……；诊断所见：……；诊断意见：1.……；2.……；如原报告不是编号形式，不强制重新编号。用户要求病程中完整抄写影像报告时；按照用户既定格式：X线/CT/磁共振（年-月-日本院）示：诊断所见：……。诊断意见：……。根据原报告连续整理。“诊断所见”及“诊断意见”内部不得人为加入无意义空格。不得擅自删掉具有诊断价值的重要描述。影像报告不确定性必须原样保留；原报告出现：“考虑”“可能”“倾向”“疑似”“不能除外”“不除外”“建议结合临床”</w:t>
      </w:r>
    </w:p>
    <w:p>
      <w:r>
        <w:t>“建议进一步检查”“建议复查”等表述时，必须保留原诊断层级。禁止：“考虑骨折”→“骨折”。“考虑韧带损伤”→“韧带断裂”。“可能存在感染”→“感染”。“占位性病变待查”→“骨肿瘤”。影像报告不得擅自增加分型；除非：1.原影像报告明确给出；2.用户明确给出；3.上级医师明确复阅影像后作出判断；否则不得擅自增加：Garden分型；Pauwels分型；AO/OTA分型；Lauge-Hansen分型；Danis-Weber分型；Schatzker分型；Neer分型；Gustilo-Anderson分型；脊柱骨折分型；</w:t>
      </w:r>
    </w:p>
    <w:p>
      <w:r>
        <w:t>韧带损伤分级；肿瘤分期；其他骨科分型。</w:t>
      </w:r>
    </w:p>
    <w:p>
      <w:pPr>
        <w:pStyle w:val="Heading3"/>
      </w:pPr>
      <w:r>
        <w:t>影像学临床分析</w:t>
      </w:r>
    </w:p>
    <w:p>
      <w:r>
        <w:t>影像分析基本结构；影像分析按照：检查名称及日期；→主要阳性表现；→关键解剖部位；→左右侧；→损伤或病变特点；→与症状和专科检查的对应关系；→对诊断的支持程度；→对治疗决策的影响；→必要的进一步检查或复查；组织。影像分析不得只是复述报告；例如报告提示：“左外踝骨折。”临床分析不能只写：“影像提示左外踝骨折。”应在已有资料支持的情况下进一步说明：</w:t>
      </w:r>
    </w:p>
    <w:p>
      <w:r>
        <w:t>影像结果与患者左踝外伤史、局部疼痛、肿胀及外踝区域压痛等临床表现相符，可为当前左踝部损伤的诊断提供影像学依据，具体骨折稳定性、治疗方式及是否需要手术应结合骨折形态、移位情况、踝穴关系、软组织条件及患者功能需求综合评估。但报告没有描述移位、稳定性或踝穴改变时，不得自行写成：“移位明显。”“踝关节不稳定。”上级医师复阅影像；如果用户明确说明：“主任复阅影像认为……”“主任看片后明确……”“主任判断属于……型。”可以在对应主任医师查房记录中写：“xx主任医师复阅相关影像后认为……。”该内容属于上级医师综合临床判断。</w:t>
      </w:r>
    </w:p>
    <w:p>
      <w:r>
        <w:t>不得伪装成原放射科报告内容。</w:t>
      </w:r>
    </w:p>
    <w:p>
      <w:pPr>
        <w:pStyle w:val="Heading3"/>
      </w:pPr>
      <w:r>
        <w:t>X线检查</w:t>
      </w:r>
    </w:p>
    <w:p>
      <w:r>
        <w:t>X线分析重点；根据疾病关注：1.骨折部位。2.骨折线。3.骨折块。4.移位。5.成角。6.短缩。7.旋转。8.关节面。9.关节间隙。10.脱位或半脱位。11.力线。12.骨质情况。13.内固定位置。14.假体位置。15.骨折愈合情况。16.其他报告明确描述的异常。以上项目只有报告或可靠临床判断提供时方可写入。骨折术后X线；术后复查重点根据实际报告分析：骨折复位情况；内固定位置；关节对应关系；力线；其他报告所见。不得仅因为术后拍片就自动写：“骨折复位良好。”“内固定位置满意。”“对位对线良好。”</w:t>
      </w:r>
    </w:p>
    <w:p>
      <w:r>
        <w:t>必须有实际影像报告或上级医师明确判断支持。</w:t>
      </w:r>
    </w:p>
    <w:p>
      <w:pPr>
        <w:pStyle w:val="Heading3"/>
      </w:pPr>
      <w:r>
        <w:t>CT检查</w:t>
      </w:r>
    </w:p>
    <w:p>
      <w:r>
        <w:t>CT在骨科中的主要分析重点；根据实际疾病关注：1.骨折具体部位。2.骨折线及骨折块。3.关节面受累。4.粉碎情况。5.移位。6.塌陷。7.骨缺损。8.关节内游离骨块。9.脊柱骨性结构。10.椎管。11.骨性占位。12.其他报告明确描述。三维重建有助于显示骨折形态时，可结合报告进行分析。不得因为存在CT三维重建而自动增加骨折分型。CT分析模板</w:t>
      </w:r>
    </w:p>
    <w:p>
      <w:r>
        <w:t>相关CT检查提示……。结合患者……外伤史及专科检查，影像所示……与当前临床表现相符，可进一步明确骨性损伤的部位及形态。对于涉及关节面、明显移位、粉碎或其他报告明确描述的情况，应结合软组织条件、关节稳定性、患者功能需求及全身情况综合评估治疗方案。其中“涉及关节面”“明显移位”“粉碎”等必须有报告或可靠资料支持。</w:t>
      </w:r>
    </w:p>
    <w:p>
      <w:pPr>
        <w:pStyle w:val="Heading3"/>
      </w:pPr>
      <w:r>
        <w:t>MRI检查</w:t>
      </w:r>
    </w:p>
    <w:p>
      <w:r>
        <w:t>MRI主要关注；1.椎间盘。2.脊髓。3.神经根。4.韧带。5.半月板。6.关节软骨。7.肩袖。8.肌腱。9.骨髓水肿。10.隐匿性骨折。11.软组织。12.感染相关改变。13.肿瘤性病变。14.其他报告明确异常。MRI分析原则；MRI结果必须与临床症状及专科查体结合。例如：MRI显示腰椎间盘突出，不代表患者所有下肢症状均由该节段导致。MRI提示半月板异常信号，不得脱离膝关节症状及相关查体直接确定为具有临床意义的半月板损伤。MRI提示韧带损伤时，应保留报告中的程度和语气。MRI分析模板</w:t>
      </w:r>
    </w:p>
    <w:p>
      <w:r>
        <w:t>相关MRI检查提示……。结合患者目前……症状及专科检查，影像所示……与当前临床表现具有一定对应关系/可为目前诊断提供影像学依据。对于报告中“考虑”“可能”“不除外”等内容，目前仍需结合临床查体及必要的进一步检查综合判断，不宜仅凭单项影像结果扩大诊断。</w:t>
      </w:r>
    </w:p>
    <w:p>
      <w:pPr>
        <w:pStyle w:val="Heading3"/>
      </w:pPr>
      <w:r>
        <w:t>超声检查</w:t>
      </w:r>
    </w:p>
    <w:p>
      <w:r>
        <w:t>骨科常见超声；主要包括：下肢静脉超声；上肢静脉超声；软组织超声；关节积液；肌腱；血管；其他检查。下肢静脉超声；如果超声明确提示血栓，应按照报告结果记录。如果超声未提示血栓，但D-二聚体升高，不得诊断DVT。如果报告提示：“血流缓慢”“静脉瓣功能异常”“可疑血栓”应保留相应诊断层级。</w:t>
      </w:r>
    </w:p>
    <w:p>
      <w:pPr>
        <w:pStyle w:val="Heading3"/>
      </w:pPr>
      <w:r>
        <w:t>骨密度</w:t>
      </w:r>
    </w:p>
    <w:p>
      <w:r>
        <w:t>骨密度分析；严格依据报告提供的：T值；Z值；骨量减少；骨质疏松等结果；进行整理。不得仅凭高龄或低能量骨折自动诊断骨质疏松症。若报告已有明确诊断，可结合骨折病情进行相应分析。</w:t>
      </w:r>
    </w:p>
    <w:p>
      <w:pPr>
        <w:pStyle w:val="Heading3"/>
      </w:pPr>
      <w:r>
        <w:t>非骨科影像异常</w:t>
      </w:r>
    </w:p>
    <w:p>
      <w:r>
        <w:t>影像发现非骨科异常；骨科住院检查中可能发现：肺结节；肺部感染相关改变；胸腔积液；心包积液；肝脏异常；肝硬化；脾大；胆囊异常；肾脏异常；甲状腺异常；血管异常；其他偶发异常。应忠实记录报告结果。不得擅自进行超出证据的专科诊断。必要时可写：“建议结合临床进一步评估。”“必要时请相关专科协助诊治。”“建议按影像报告意见进一步复查。”肺结节；若报告提供Lung-RADS分级，应保留原分级及原报告建议。不得擅自改变随访时间。不得把肺结节直接诊断为肺癌。</w:t>
      </w:r>
    </w:p>
    <w:p>
      <w:pPr>
        <w:pStyle w:val="Heading3"/>
      </w:pPr>
      <w:r>
        <w:t>检验结果处理总原则</w:t>
      </w:r>
    </w:p>
    <w:p>
      <w:r>
        <w:t>检验分析不是抄化验单；用户要求“分析化验单”时，应完成：检验结果；→异常指标；→异常程度；→临床意义；→与当前骨科疾病及治疗阶段的关系；→围手术期可能影响；→后续复查或处理方向。不得只罗列：WBC多少；Hb多少；CRP多少；D-二聚体多少。优先关注项目；根据病例选择：1.白细胞计数。2.中性粒细胞计数。3.中性粒细胞比例。4.淋巴细胞。5.红细胞。6.血红蛋白。7.红细胞压积。8.血小板。9.CRP。10.超敏CRP。11.血沉。12.PCT，如实际检查。13.PT。14.APTT。15.INR。16.纤维蛋白原。</w:t>
      </w:r>
    </w:p>
    <w:p>
      <w:r>
        <w:t>17.D-二聚体。18.ALT。19.AST。20.胆红素。21.白蛋白。22.总蛋白。23.肌酐。24.尿素。25.eGFR，如报告提供。26.钾。27.钠。28.氯。29.钙。30.血糖。31.糖化血红蛋白。32.尿常规。33.传染病筛查。34.其他与当前病情相关的指标。重要正常指标；如果某项正常结果对临床决策具有意义，可以写入。例如：拟手术患者凝血功能未见明显异常；肾功能未见明显异常；血小板计数在参考范围等。但不得为了“完整”机械列出全部正常指标。</w:t>
      </w:r>
    </w:p>
    <w:p>
      <w:pPr>
        <w:pStyle w:val="Heading3"/>
      </w:pPr>
      <w:r>
        <w:t>检验分析的时间背景</w:t>
      </w:r>
    </w:p>
    <w:p>
      <w:r>
        <w:t>检验必须结合当前阶段；相同的异常指标在不同阶段意义可能不同。必须先判断：A.创伤后。B.术前。C.手术当日。D.术后早期。E.术后恢复期。F.感染观察期。G.准备出院。不得脱离时间背景解释化验。创伤后；创伤后可能出现：白细胞升高；中性粒细胞升高；CRP逐渐变化；血红蛋白变化；D-二聚体升高；CK等组织损伤相关指标变化。这些改变可能与创伤应激、组织损伤、失血等相关。不得直接等同于感染、DVT或活动性出血。术后早期；术后早期可能存在：炎症指标变化；白细胞变化；血红蛋白下降；白蛋白下降；D-二聚体升高；电解质变化；</w:t>
      </w:r>
    </w:p>
    <w:p>
      <w:r>
        <w:t>血糖变化。分析时应考虑手术创伤及应激背景。不得仅凭术后炎症指标升高确诊感染。</w:t>
      </w:r>
    </w:p>
    <w:p>
      <w:pPr>
        <w:pStyle w:val="Heading3"/>
      </w:pPr>
      <w:r>
        <w:t>血常规分析</w:t>
      </w:r>
    </w:p>
    <w:p>
      <w:r>
        <w:t>白细胞及中性粒细胞升高；分析模板：血常规示白细胞计数及/或中性粒细胞相关指标升高。结合患者当前处于创伤后/术后阶段，上述变化可与创伤或手术应激反应有关；是否存在感染仍需结合体温、局部红肿热痛、伤口或切口情况、CRP/PCT等感染相关指标及必要的病原学检查综合判断，不能仅凭血常规异常明确感染。如果患者存在明确感染证据，应按照实际资料进一步分析。白细胞降低；应结合：基础疾病；药物；感染；骨髓抑制；其他临床情况；综合判断。不得直接确定原因。贫血；分析模板：</w:t>
      </w:r>
    </w:p>
    <w:p>
      <w:r>
        <w:t>血红蛋白及红细胞相关指标降低，提示存在贫血。需结合患者既往基础血红蛋白水平、创伤失血、术中出血及术后变化综合判断。围手术期应动态观察血红蛋白变化，并结合患者有无头晕、乏力、心悸、循环状态异常等临床表现进一步评估，必要时进一步明确贫血原因并予相应处理。血红蛋白下降不等于活动性出血；Hb下降可能与：创伤失血；手术失血；血液稀释；基础贫血；其他原因；有关。只有结合：持续出血；引流；伤口；生命体征；复查Hb；影像；其他证据；才能进一步判断是否存在活动性出血。血小板减少；分析模板：</w:t>
      </w:r>
    </w:p>
    <w:p>
      <w:r>
        <w:t>血小板计数降低，提示患者出血风险可能增加，需结合下降程度、动态变化、凝血功能、用药情况及有无皮肤黏膜出血、伤口渗血等表现综合评估，动态复查相关指标，并根据病情进一步处理。不得仅凭轻度降低自动写“存在高出血风险”。血小板升高；可结合：创伤；术后反应；炎症；缺铁；其他原因；进行分析。不得直接确定病因。</w:t>
      </w:r>
    </w:p>
    <w:p>
      <w:pPr>
        <w:pStyle w:val="Heading3"/>
      </w:pPr>
      <w:r>
        <w:t>感染指标</w:t>
      </w:r>
    </w:p>
    <w:p>
      <w:r>
        <w:t>CRP/超敏CRP/血沉；炎症指标升高只能说明存在炎症反应。可能与：创伤；手术；感染；慢性炎症；其他疾病；相关。必须结合临床。感染判断；需要综合：体温；局部红肿热痛；伤口/切口；脓性分泌物；白细胞；中性粒细胞；CRP；PCT；血沉；影像；培养；病原学；动态趋势。不得由任何单项指标独立确诊感染。术后炎症指标模板</w:t>
      </w:r>
    </w:p>
    <w:p>
      <w:r>
        <w:t>相关感染指标较参考范围升高，结合患者目前处于术后阶段，需考虑手术创伤及应激反应影响。目前是否存在感染尚需结合体温、切口情况、局部症状体征及感染指标动态变化综合判断；如出现持续升高、发热、切口红肿渗液或其他感染相关表现，应进一步评估处理。</w:t>
      </w:r>
    </w:p>
    <w:p>
      <w:pPr>
        <w:pStyle w:val="Heading3"/>
      </w:pPr>
      <w:r>
        <w:t>凝血及VTE相关指标</w:t>
      </w:r>
    </w:p>
    <w:p>
      <w:r>
        <w:t>凝血分析重点；PT；APTT；INR；纤维蛋白原；D-二聚体；血小板；其他实际检查。D-二聚体升高；必须明确：D-二聚体升高 ≠ DVT。创伤、骨折、手术、年龄等均可能影响D-二聚体。分析模板：D-二聚体升高，结合患者目前存在创伤/骨折/术后状态，该指标可受创伤及手术等因素影响。患者存在静脉血栓形成相关风险，但不能仅凭D-二聚体升高诊断深静脉血栓形成，应结合患肢肿胀、疼痛等临床表现及必要时下肢静脉超声等进一步评估。D-二聚体正常；不能在所有情况下单独用于完全排除VTE。</w:t>
      </w:r>
    </w:p>
    <w:p>
      <w:r>
        <w:t>是否需要进一步检查，应结合临床风险及实际病情判断。凝血异常与手术；PT、APTT、INR等异常时，应结合异常程度、基础疾病、药物及拟施手术综合评估围手术期出血风险。不得自行宣布：“不能手术。”除非已有明确临床决策。</w:t>
      </w:r>
    </w:p>
    <w:p>
      <w:pPr>
        <w:pStyle w:val="Heading3"/>
      </w:pPr>
      <w:r>
        <w:t>肝功能及蛋白</w:t>
      </w:r>
    </w:p>
    <w:p>
      <w:r>
        <w:t>转氨酶异常；分析模板：肝功能相关指标示……异常，需结合患者既往肝病史、近期用药及其他肝功能指标综合评估。围手术期应注意相关药物使用及肝功能变化，必要时动态复查或请相关专科进一步评估。低白蛋白；分析模板：白蛋白降低，提示患者营养及蛋白状态存在异常，可能对伤口愈合及术后恢复产生不利影响。需结合患者饮食、基础疾病、肝肾功能及围手术期状态综合判断，必要时加强营养评估与支持，并动态复查相关指标。低白蛋白不等于自动输注白蛋白；不得仅凭白蛋白降低自动写：“予人血白蛋白治疗。”是否使用白蛋白必须依据实际医嘱及临床情况。</w:t>
      </w:r>
    </w:p>
    <w:p>
      <w:pPr>
        <w:pStyle w:val="Heading3"/>
      </w:pPr>
      <w:r>
        <w:t>肾功能</w:t>
      </w:r>
    </w:p>
    <w:p>
      <w:r>
        <w:t>肾功能分析；主要关注：肌酐；尿素；eGFR；电解质；尿量，如有真实资料。模板：肾功能相关指标示……，需结合患者既往肾功能基础、当前容量状态及用药情况综合判断。围手术期应注意肾功能变化及相关药物使用，必要时动态复查肾功能、电解质并进一步评估。不得自行判断具体病因；肌酐升高不能仅凭单次结果直接确定：急性肾损伤；慢性肾功能不全；脱水；药物性肾损伤。需要结合基线及动态变化。</w:t>
      </w:r>
    </w:p>
    <w:p>
      <w:pPr>
        <w:pStyle w:val="Heading3"/>
      </w:pPr>
      <w:r>
        <w:t>电解质</w:t>
      </w:r>
    </w:p>
    <w:p>
      <w:r>
        <w:t>重点电解质；钾；钠；氯；钙；其他实际异常。电解质异常模板；电解质检查示……异常，需结合患者饮食、补液、肾功能、药物及围手术期状态综合评估。相关异常可能影响患者围手术期安全及恢复，应根据实际病情予相应处理并动态复查。不得自行补充具体补液或补钾方案。</w:t>
      </w:r>
    </w:p>
    <w:p>
      <w:pPr>
        <w:pStyle w:val="Heading3"/>
      </w:pPr>
      <w:r>
        <w:t>血糖</w:t>
      </w:r>
    </w:p>
    <w:p>
      <w:r>
        <w:t>血糖升高；需要区分：既往糖尿病；应激性高血糖；新发现异常。分析模板：血糖升高，需结合患者既往糖尿病史、近期饮食及创伤/手术应激状态综合判断。围手术期血糖控制情况可能影响感染风险及伤口愈合，应动态监测血糖，并根据患者实际情况调整相关治疗。不得仅凭一次血糖升高诊断糖尿病。糖化血红蛋白；HbA1c可辅助反映既往一段时间血糖控制情况。应结合既往病史及当前血糖综合分析。</w:t>
      </w:r>
    </w:p>
    <w:p>
      <w:pPr>
        <w:pStyle w:val="Heading3"/>
      </w:pPr>
      <w:r>
        <w:t>尿常规</w:t>
      </w:r>
    </w:p>
    <w:p>
      <w:r>
        <w:t>尿常规异常；根据具体异常分析：白细胞；红细胞；蛋白；葡萄糖；酮体；亚硝酸盐；其他。不得仅凭尿白细胞升高自动诊断尿路感染。需结合症状、培养等资料。</w:t>
      </w:r>
    </w:p>
    <w:p>
      <w:pPr>
        <w:pStyle w:val="Heading3"/>
      </w:pPr>
      <w:r>
        <w:t>传染病筛查</w:t>
      </w:r>
    </w:p>
    <w:p>
      <w:r>
        <w:t>乙肝相关指标；必须准确区分：HBsAg；HBsAb；HBeAg；HBeAb；HBcAb；HBV DNA，如有。不得仅凭HBsAg阳性写：“活动性乙型肝炎”。乙肝分析模板；乙肝相关检查示……，目前结果提示……，需结合肝功能及必要的HBV DNA等病毒学检查进一步评估病毒复制及肝脏情况，必要时请相关专科进一步评估。不得超出报告结果。</w:t>
      </w:r>
    </w:p>
    <w:p>
      <w:pPr>
        <w:pStyle w:val="Heading3"/>
      </w:pPr>
      <w:r>
        <w:t>输血与贫血判断边界</w:t>
      </w:r>
    </w:p>
    <w:p>
      <w:r>
        <w:t>Hb降低不自动触发输血；输血决策需要综合：Hb水平；下降趋势；症状；循环情况；持续失血；基础心肺疾病；手术阶段；其他临床因素。本模块只负责分析。不得因为Hb达到某一数值就自行写：“需输血。”除非用户明确提供实际临床决策或医嘱。</w:t>
      </w:r>
    </w:p>
    <w:p>
      <w:pPr>
        <w:pStyle w:val="Heading3"/>
      </w:pPr>
      <w:r>
        <w:t>连续检验趋势分析</w:t>
      </w:r>
    </w:p>
    <w:p>
      <w:r>
        <w:t>趋势分析前提；只有满足以下条件方可比较：1.同一患者。2.同一检验项目。3.检查日期明确。4.单位具有可比性。5.时间顺序明确。趋势表达；可以使用：“较前升高。”“较前下降。”“呈下降趋势。”“呈升高趋势。”“较前基本稳定。”“复查较前改善。”“仍高于参考范围。”必须由实际数值支持。禁止虚假趋势；只有一张化验单时不得写：“较前下降。”“持续升高。”“逐渐恢复。”如果前后单位不同或检测方法明显不同，应谨慎比较。趋势分析优先级；骨科围手术期常重点比较：Hb；WBC；中性粒细胞；CRP；PCT；血小板；D-二聚体；</w:t>
      </w:r>
    </w:p>
    <w:p>
      <w:r>
        <w:t>肝肾功能；电解质；白蛋白；血糖。根据病例实际选择，不要求全部比较。</w:t>
      </w:r>
    </w:p>
    <w:p>
      <w:pPr>
        <w:pStyle w:val="Heading3"/>
      </w:pPr>
      <w:r>
        <w:t>病理结果</w:t>
      </w:r>
    </w:p>
    <w:p>
      <w:r>
        <w:t>病理结果层级；必须区分：穿刺病理；活检病理；术中快速病理；术后石蜡病理；免疫组化；分子检测；其他。最终病理优先；当术后正式病理结果已经明确时，应根据正式病理更新相关诊断判断。不得继续把已经被正式病理明确的疾病仅写成术前“考虑……”。但病理没有支持的内容不得擅自增加。病理分析模板；病理检查结果提示……。结合患者病史、影像及手术相关资料，目前病理结果可为……提供进一步依据。后续治疗及随访方案需结合病理类型、实际分期相关资料及患者全身情况综合评估。如果没有分期资料，不得自行分期。</w:t>
      </w:r>
    </w:p>
    <w:p>
      <w:pPr>
        <w:pStyle w:val="Heading3"/>
      </w:pPr>
      <w:r>
        <w:t>微生物培养及药敏</w:t>
      </w:r>
    </w:p>
    <w:p>
      <w:r>
        <w:t>培养结果；必须记录：标本类型；培养结果；菌种；药敏结果，如实际提供；采样时间，如有临床意义。培养阳性不自动等于深部感染；需要结合：标本来源；采样方式；污染可能；临床症状；伤口；影像；炎症指标；其他病原学资料；综合判断。药敏结果；可以根据报告说明：对哪些药物敏感；耐药；中介。但不得擅自根据药敏结果直接替患者改变抗菌药物方案。具体用药调整必须依据实际临床医嘱或用户明确要求。</w:t>
      </w:r>
    </w:p>
    <w:p>
      <w:pPr>
        <w:pStyle w:val="Heading3"/>
      </w:pPr>
      <w:r>
        <w:t>心电图及围手术期特殊检查</w:t>
      </w:r>
    </w:p>
    <w:p>
      <w:r>
        <w:t>心电图；如果用户提供心电图报告，应忠实按照报告分析。例如报告提示：窦性心律；房颤；传导阻滞；ST-T改变；其他异常。不得根据心电图机器自动结论进一步擅自诊断冠心病、心肌梗死等疾病。存在重要异常时，可根据实际情况写：“建议结合临床及相关检查进一步评估，必要时请心内科协助诊治。”胸部影像等术前检查；如发现与手术风险有关的非骨科异常，应记录并评估是否需要相关专科协助。不得因存在轻微异常自动写：“无手术禁忌证。”是否具有手术禁忌证属于综合临床决策。</w:t>
      </w:r>
    </w:p>
    <w:p>
      <w:pPr>
        <w:pStyle w:val="Heading3"/>
      </w:pPr>
      <w:r>
        <w:t>检验结果写入日常病程</w:t>
      </w:r>
    </w:p>
    <w:p>
      <w:r>
        <w:t>基本结构；今日检验结果回示：……。其中……异常。结合患者目前处于……阶段及临床表现，考虑……。目前需重点观察……，必要时复查……，根据病情变化及时调整治疗方案。病程中不机械列全部数值；优先写：最重要异常；与当前诊断有关的指标；影响手术的指标；影响术后恢复的指标；需要动态观察的指标。无临床意义的轻微异常可以适当压缩。</w:t>
      </w:r>
    </w:p>
    <w:p>
      <w:pPr>
        <w:pStyle w:val="Heading3"/>
      </w:pPr>
      <w:r>
        <w:t>检验结果写入主治医师查房</w:t>
      </w:r>
    </w:p>
    <w:p>
      <w:r>
        <w:t>主治层级；主治医师查房中的检验分析重点：今天异常是什么；→临床意义是什么；→对今天治疗有什么影响；→需要复查什么。不能只是：“化验单已阅。”主治医师检验分析模板；今日xx主治医师查房，……。今日检验结果示……，其中……异常。结合患者目前……状态及临床表现，考虑……，目前尚不能仅凭……明确……。继续观察……，根据患者实际情况予相应处理，并动态复查……，根据复查结果及时调整治疗方案。</w:t>
      </w:r>
    </w:p>
    <w:p>
      <w:pPr>
        <w:pStyle w:val="Heading3"/>
      </w:pPr>
      <w:r>
        <w:t>检验及影像写入主任医师查房</w:t>
      </w:r>
    </w:p>
    <w:p>
      <w:r>
        <w:t>主任层级；主任医师查房应在结果基础上进一步完成：关键检查复阅；诊断复核；严重程度判断；损伤特点；治疗策略；手术适应证；风险；预后。但不得超过现有证据。主任影像分析模板；今日随xx主任医师查房，……。xx主任医师复阅相关影像后认为……。结合患者病史、临床表现、专科查体及影像学检查，目前诊断考虑……。根据影像所示损伤特点及患者软组织条件、全身情况和功能需求，目前建议……治疗；进一步结合……完善评估，根据病情变化及复查结果及时调整治疗方案。只有用户明确主任复阅或病例资料支持时，才写“复阅相关影像”。</w:t>
      </w:r>
    </w:p>
    <w:p>
      <w:pPr>
        <w:pStyle w:val="Heading3"/>
      </w:pPr>
      <w:r>
        <w:t>术前检验综合分析</w:t>
      </w:r>
    </w:p>
    <w:p>
      <w:r>
        <w:t>术前重点；重点关注：贫血；血小板；凝血；感染相关指标；肝功能；肾功能；电解质；血糖；白蛋白；传染病；心电图；胸部检查；基础疾病相关检查。术前综合分析模板；患者术前相关检查已完善/部分完善。血常规示……；凝血功能示……；肝肾功能、电解质、血糖及蛋白相关指标示……；其他围手术期相关检查示……。目前主要异常为……，可能对围手术期……产生一定影响，需结合患者临床表现及基础疾病进一步评估，并根据实际情况予相应处理或复查。是否具备当前手术条件应结合患者全身情况、麻醉评估及相关专科意见综合判断。不得仅凭本模块自行宣布：</w:t>
      </w:r>
    </w:p>
    <w:p>
      <w:r>
        <w:t>“术前检查正常，可手术。”</w:t>
      </w:r>
    </w:p>
    <w:p>
      <w:pPr>
        <w:pStyle w:val="Heading3"/>
      </w:pPr>
      <w:r>
        <w:t>术后检验综合分析</w:t>
      </w:r>
    </w:p>
    <w:p>
      <w:r>
        <w:t>术后重点；术后根据实际情况关注：Hb变化；WBC；中性粒细胞；CRP/PCT；血小板；凝血；D-二聚体；肝肾功能；电解质；白蛋白；血糖。术后综合模板；患者术后第×日，复查相关检验示……。与术前/前次检查比较，……。结合患者目前术后阶段及临床表现，上述变化考虑可能与……有关，目前需重点观察……。继续动态复查相关指标，并结合切口、引流、患肢情况及患者全身状态综合判断，根据病情变化及时调整治疗方案。“与术前/前次比较”只有真实数据可比较时方可使用。</w:t>
      </w:r>
    </w:p>
    <w:p>
      <w:pPr>
        <w:pStyle w:val="Heading3"/>
      </w:pPr>
      <w:r>
        <w:t>常见组合异常分析</w:t>
      </w:r>
    </w:p>
    <w:p>
      <w:r>
        <w:t>WBC升高＋CRP升高；不能自动诊断感染。分析：可能存在炎症反应；创伤或术后应激可以导致；结合体温、切口、伤口、局部表现、PCT、培养等综合判断。Hb下降＋术后状态；重点：下降程度；趋势；术中失血；引流；切口；循环状态；症状。不能自动写活动性出血或自动输血。D-二聚体升高＋下肢骨折；提示患者存在VTE相关风险背景。不能确诊DVT。结合：患肢肿胀；疼痛；活动受限；手术；卧床；超声；其他风险因素；综合评估。白蛋白降低＋贫血；可提示患者营养及恢复相关风险增加。应结合：饮食；失血；基础疾病；肝肾功能；慢性疾病；综合判断。</w:t>
      </w:r>
    </w:p>
    <w:p>
      <w:r>
        <w:t>不得自动增加“营养不良”诊断，除非证据充分。血糖升高＋糖尿病史；应结合：既往糖尿病；当前血糖；HbA1c；实际治疗；围手术期状态。重点分析血糖控制对感染及伤口愈合的潜在影响。</w:t>
      </w:r>
    </w:p>
    <w:p>
      <w:pPr>
        <w:pStyle w:val="Heading3"/>
      </w:pPr>
      <w:r>
        <w:t>异常严重程度表达</w:t>
      </w:r>
    </w:p>
    <w:p>
      <w:r>
        <w:t>分析用语分层；轻度或意义暂不明确：“轻度异常。”“目前临床意义需结合病情综合判断。”具有临床意义：“需动态观察。”“可能对围手术期……产生一定影响。”需要警惕：“需警惕……可能。”“目前不能完全除外……。”证据不足：“目前尚不能仅凭上述结果明确……。”证据充分：按照已有明确诊断书写。</w:t>
      </w:r>
    </w:p>
    <w:p>
      <w:pPr>
        <w:pStyle w:val="Heading3"/>
      </w:pPr>
      <w:r>
        <w:t>检查结果与治疗决策边界</w:t>
      </w:r>
    </w:p>
    <w:p>
      <w:r>
        <w:t>本模块可以做什么；可以：分析异常；说明可能意义；指出风险；提出动态复查；提出进一步评估；建议必要时相关专科协助。本模块不能自动做什么；不得仅根据检查结果自动：开始抗菌药物；停止抗菌药物；开始抗凝；停止抗凝；输血；输白蛋白；补钾；补钠；改变胰岛素；取消手术；安排急诊手术；拔除引流；改变负重；其他具体治疗行为。治疗决策必须结合实际临床情况并调用相应治疗决策模块。</w:t>
      </w:r>
    </w:p>
    <w:p>
      <w:pPr>
        <w:pStyle w:val="Heading3"/>
      </w:pPr>
      <w:r>
        <w:t>连续影像比较</w:t>
      </w:r>
    </w:p>
    <w:p>
      <w:r>
        <w:t>影像动态比较；如同一患者存在：术前X线；术后X线；复查X线；可以在报告支持下比较：骨折位置；对位对线；固定位置；愈合变化；关节关系；其他报告明确变化。骨折愈合；不得仅根据时间推断：“骨痂形成。”“骨折愈合良好。”“已临床愈合。”“已骨性愈合。”必须依据复查影像及临床情况。</w:t>
      </w:r>
    </w:p>
    <w:p>
      <w:pPr>
        <w:pStyle w:val="Heading3"/>
      </w:pPr>
      <w:r>
        <w:t>辅助检查冲突处理</w:t>
      </w:r>
    </w:p>
    <w:p>
      <w:r>
        <w:t>不同报告结论不一致；如果不同日期报告存在差异，应先判断：是否同一患者；是否同一部位；是否检查方式不同；是否疾病发生动态变化；是否后续检查更清楚；是否存在上级医师复阅后的临床修正。不得简单删除早期结果。应体现诊断逐渐明确的过程。影像报告与临床判断不同；如果原放射科报告与主任复阅影像后的临床判断不同，应分别保留来源。例如：“原影像报告提示……；赵峰主任医师复阅影像后结合患者损伤机制及影像表现认为……。”不得把主任意见篡改为原影像报告内容。</w:t>
      </w:r>
    </w:p>
    <w:p>
      <w:pPr>
        <w:pStyle w:val="Heading3"/>
      </w:pPr>
      <w:r>
        <w:t>图片检查单处理</w:t>
      </w:r>
    </w:p>
    <w:p>
      <w:r>
        <w:t>检验图片；内部依次：识别患者；识别日期；识别检验类型；提取数值；识别参考范围；筛选异常；识别重要正常项；结合病例分析。不需要向用户机械展示全部识别过程。影像报告图片；内部依次：识别患者；识别日期；识别检查名称；识别部位及侧别；提取诊断所见；提取诊断意见；保留原报告不确定性；再根据用户要求决定是整理还是分析。图片无法可靠辨认；对于无法可靠识别的关键数值、侧别或报告文字：不得猜测。应明确指出对应内容无法确认，并请用户提供更清晰图片或文字。</w:t>
      </w:r>
    </w:p>
    <w:p>
      <w:pPr>
        <w:pStyle w:val="Heading1"/>
      </w:pPr>
      <w:r>
        <w:t>典型模拟病例</w:t>
      </w:r>
    </w:p>
    <w:p>
      <w:r>
        <w:t>以下全部为虚构病例，仅演示规则。虚构O004，CT报告“左踝后踝骨折可能”，后续主任复阅认为后踝骨折明确，但无新报告。</w:t>
      </w:r>
    </w:p>
    <w:p>
      <w:pPr>
        <w:keepNext/>
      </w:pPr>
      <w:r>
        <w:t>2026年10月25日 09:00 影像分析记录</w:t>
      </w:r>
    </w:p>
    <w:p>
      <w:pPr>
        <w:pStyle w:val="Fence"/>
        <w:keepNext/>
      </w:pPr>
      <w:r>
        <w:t>```text</w:t>
      </w:r>
    </w:p>
    <w:p>
      <w:pPr>
        <w:pStyle w:val="MedicalBody"/>
        <w:keepNext/>
        <w:keepLines/>
      </w:pPr>
      <w:r>
        <w:t>原CT报告为左踝后踝骨折可能，不能擅改报告原文。主任医师复阅后的临床判断可在有真实意见记录时单独注明为后踝骨折明确；两者来源与时点应分别保存，不能将后续判断倒写进初始报告。</w:t>
      </w:r>
    </w:p>
    <w:p>
      <w:pPr>
        <w:pStyle w:val="Fence"/>
      </w:pPr>
      <w:r>
        <w:t>```</w:t>
      </w:r>
    </w:p>
    <w:p>
      <w:pPr>
        <w:pStyle w:val="Heading1"/>
      </w:pPr>
      <w:r>
        <w:t>禁止事项及常见错误</w:t>
      </w:r>
    </w:p>
    <w:p>
      <w:r>
        <w:t>禁止串患者、侧别/节段混写、将计划写已实施、虚构神经血运与特殊试验、补量表与骨折分型、虚构手术植入物和医师意见。常见错误为把疼痛减轻写成骨愈合，把有脉搏写成排除筋膜室综合征，把CRP或D-二聚体单升高写感染/DVT，把术后日当作负重或拔管许可。</w:t>
      </w:r>
    </w:p>
    <w:p>
      <w:pPr>
        <w:pStyle w:val="Heading1"/>
      </w:pPr>
      <w:r>
        <w:t>质量控制及模块协同</w:t>
      </w:r>
    </w:p>
    <w:p>
      <w:r>
        <w:t>每次任务强制01＋11，按任务选02—09及相关101—108，最终10终审。03提供实查/定位，04分原文与分析，05管理实际操作和器械，06处理急变，07核治疗执行，08核真实上级意见，09核活动负重和随访；不无差别加载20模块。</w:t>
      </w:r>
    </w:p>
    <w:p>
      <w:r>
        <w:t>核对患者/住院/损伤事件、日期、侧别部位、诊断依据及确定度、实际操作、植入物和装置、药物执行、并发症证据、负重许可与执行能力、出院计划和代码框。严重冲突阻断受影响结论，不能以省略关键问题掩盖风险。</w:t>
      </w:r>
    </w:p>
    <w:p>
      <w:pPr>
        <w:pStyle w:val="Heading1"/>
      </w:pPr>
      <w:r>
        <w:t>指南及资料来源</w:t>
      </w:r>
    </w:p>
    <w:p>
      <w:r>
        <w:t>核验基准为2026年10月25日。每项标明已核验范围；未核到全文、具体推荐或证据等级者不补造。国际来源须结合国内规范、批准范围及院内制度。检索未见更新不能宣称绝对最新；不同人群、版本和证据分级不拼接。</w:t>
      </w:r>
    </w:p>
    <w:p>
      <w:r>
        <w:t>[R01] 病历书写基本规范。卫生部，2010，卫医政发〔2010〕11号。官方发布和文书基本要求已核验。</w:t>
      </w:r>
    </w:p>
    <w:p>
      <w:r>
        <w:t>https://www.nhc.gov.cn/wjw/c100175/201002/b1bec53d90f243e0861529723f00221a.shtml</w:t>
      </w:r>
    </w:p>
    <w:p>
      <w:r>
        <w:t>[R02] 医疗质量安全核心制度要点。国家卫生健康委，2018，国卫医发〔2018〕8号。官方发布和核心制度适用范围已核验。</w:t>
      </w:r>
    </w:p>
    <w:p>
      <w:r>
        <w:t>https://www.nhc.gov.cn/yzygj/c100068/201804/42ab2552298047679cd6ec733f233862.shtml</w:t>
      </w:r>
    </w:p>
    <w:p>
      <w:r>
        <w:t>[R10] International Standards for Neurological Classification of Spinal Cord Injury Revised 2019。ASIA与ISCoS，2019修订。官方修订发布与评估目的已核验；完整评分及后续勘误需按正式表。</w:t>
      </w:r>
    </w:p>
    <w:p>
      <w:r>
        <w:t>https://asia-spinalinjury.org/wp-content/uploads/newsletters/2019/spring/ISNCSCI-2019.html</w:t>
      </w:r>
    </w:p>
    <w:p>
      <w:r>
        <w:t>[R15] Diagnosing Fracture Related Infection Current Concepts and Recommendations。FRI Consensus Group，J Orthop Trauma，2020；PMID31855973。原始共识及确证/提示性证据框架已核验。</w:t>
      </w:r>
    </w:p>
    <w:p>
      <w:r>
        <w:t>https://pubmed.ncbi.nlm.nih.gov/31855973/</w:t>
      </w:r>
    </w:p>
    <w:p>
      <w:r>
        <w:t>[R17] The EBJIS definition of periprosthetic joint infection。EBJIS，2021；Bone Joint J103-B：18–25。原始三层诊断定义已核验；不可与ICM计分拼接。</w:t>
      </w:r>
    </w:p>
    <w:p>
      <w:r>
        <w:t>https://pmc.ncbi.nlm.nih.gov/articles/PMC7954183/</w:t>
      </w:r>
    </w:p>
    <w:p>
      <w:r>
        <w:t>[R19] Guideline for management of septic arthritis in native joints SANJO。EBJIS，2023；DOI10.5194/jbji-8-29-2023。原始指南范围与取样/抗菌先后原则已核验。</w:t>
      </w:r>
    </w:p>
    <w:p>
      <w:r>
        <w:t>https://pmc.ncbi.nlm.nih.gov/articles/PMC9901514/</w:t>
      </w:r>
    </w:p>
    <w:p>
      <w:r>
        <w:t>[R20] UK guidelines for the management of bone sarcomas。British Sarcoma Group，2024更新，Br J Cancer2025；DOI10.1038/s41416-024-02868-4。原始指南及专科MDT诊疗链已核验。</w:t>
      </w:r>
    </w:p>
    <w:p>
      <w:r>
        <w:t>https://www.nature.com/articles/s41416-024-02868-4</w:t>
      </w:r>
    </w:p>
    <w:p>
      <w:pPr>
        <w:pStyle w:val="Heading1"/>
      </w:pPr>
      <w:r>
        <w:t>更新与维护说明</w:t>
      </w:r>
    </w:p>
    <w:p>
      <w:r>
        <w:t>本版承接原《骨科检验、影像及特殊检查结果分析模板库》V1.0，统一为00/01、02—11、101—108三级编号与同文件夹20份Word。原文件保留在原目录，本更新版独立保存。科室负责人、相关亚专科及病案质控共同审校；至少季度复核来源，重要指南/说明书/院内制度变更时及时修订并重跑验收。</w:t>
      </w:r>
    </w:p>
    <w:p>
      <w:r>
        <w:t>本库为Word规则与模板，未部署电子病历接口、后台调度或数据库。使用AI时需提供01、11及相关模块和当前病例状态；不能声称读取未提供的文件或拥有可靠跨会话记忆。真实医师审校及院内试用不由规则级模拟验收替代。</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04  骨科AI病历系统  V2.0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20"/>
    </w:pPr>
    <w:rPr>
      <w:rFonts w:ascii="Songti SC" w:hAnsi="Songti SC" w:eastAsia="Songti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ongti SC" w:hAnsi="Songti SC" w:eastAsia="Songti SC"/>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ongti SC" w:hAnsi="Songti SC" w:eastAsia="Songti SC"/>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Songti SC" w:hAnsi="Songti SC" w:eastAsia="Songti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Songti SC" w:hAnsi="Songti SC" w:eastAsia="Songti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Songti SC" w:hAnsi="Songti SC" w:eastAsia="Songti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ngti SC" w:hAnsi="Songti SC" w:eastAsia="Songti SC"/>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ongti SC" w:hAnsi="Songti SC" w:eastAsia="Songti SC"/>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ongti SC" w:hAnsi="Songti SC" w:eastAsia="Songti SC"/>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Songti SC" w:hAnsi="Songti SC" w:eastAsia="Songti SC"/>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Songti SC" w:hAnsi="Songti SC" w:eastAsia="Songti SC"/>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Songti SC" w:hAnsi="Songti SC" w:eastAsia="Songti SC"/>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Songti SC" w:hAnsi="Songti SC" w:eastAsia="Songti SC"/>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Songti SC" w:hAnsi="Songti SC" w:eastAsia="Songti SC"/>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Songti SC" w:hAnsi="Songti SC" w:eastAsia="Songti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Songti SC" w:hAnsi="Songti SC" w:eastAsia="Songti SC"/>
      <w:color w:val="000000"/>
    </w:rPr>
  </w:style>
  <w:style w:type="paragraph" w:styleId="BodyText">
    <w:name w:val="Body Text"/>
    <w:basedOn w:val="Normal"/>
    <w:link w:val="BodyTextChar"/>
    <w:uiPriority w:val="99"/>
    <w:unhideWhenUsed/>
    <w:rsid w:val="00AA1D8D"/>
    <w:pPr>
      <w:spacing w:after="120"/>
    </w:pPr>
    <w:rPr>
      <w:rFonts w:ascii="Songti SC" w:hAnsi="Songti SC" w:eastAsia="Songti SC"/>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Songti SC" w:hAnsi="Songti SC" w:eastAsia="Songti SC"/>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Songti SC" w:hAnsi="Songti SC" w:eastAsia="Songti SC"/>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Songti SC" w:hAnsi="Songti SC" w:eastAsia="Songti SC"/>
      <w:color w:val="000000"/>
    </w:rPr>
  </w:style>
  <w:style w:type="paragraph" w:styleId="List2">
    <w:name w:val="List 2"/>
    <w:basedOn w:val="Normal"/>
    <w:uiPriority w:val="99"/>
    <w:unhideWhenUsed/>
    <w:rsid w:val="00326F90"/>
    <w:pPr>
      <w:ind w:left="720" w:hanging="360"/>
      <w:contextualSpacing/>
    </w:pPr>
    <w:rPr>
      <w:rFonts w:ascii="Songti SC" w:hAnsi="Songti SC" w:eastAsia="Songti SC"/>
      <w:color w:val="000000"/>
    </w:rPr>
  </w:style>
  <w:style w:type="paragraph" w:styleId="List3">
    <w:name w:val="List 3"/>
    <w:basedOn w:val="Normal"/>
    <w:uiPriority w:val="99"/>
    <w:unhideWhenUsed/>
    <w:rsid w:val="00326F90"/>
    <w:pPr>
      <w:ind w:left="1080" w:hanging="360"/>
      <w:contextualSpacing/>
    </w:pPr>
    <w:rPr>
      <w:rFonts w:ascii="Songti SC" w:hAnsi="Songti SC" w:eastAsia="Songti SC"/>
      <w:color w:val="000000"/>
    </w:rPr>
  </w:style>
  <w:style w:type="paragraph" w:styleId="ListBullet">
    <w:name w:val="List Bullet"/>
    <w:basedOn w:val="Normal"/>
    <w:uiPriority w:val="99"/>
    <w:unhideWhenUsed/>
    <w:rsid w:val="00326F90"/>
    <w:pPr>
      <w:numPr>
        <w:numId w:val="1"/>
      </w:numPr>
      <w:contextualSpacing/>
    </w:pPr>
    <w:rPr>
      <w:rFonts w:ascii="Songti SC" w:hAnsi="Songti SC" w:eastAsia="Songti SC"/>
      <w:color w:val="000000"/>
    </w:rPr>
  </w:style>
  <w:style w:type="paragraph" w:styleId="ListBullet2">
    <w:name w:val="List Bullet 2"/>
    <w:basedOn w:val="Normal"/>
    <w:uiPriority w:val="99"/>
    <w:unhideWhenUsed/>
    <w:rsid w:val="00326F90"/>
    <w:pPr>
      <w:numPr>
        <w:numId w:val="2"/>
      </w:numPr>
      <w:contextualSpacing/>
    </w:pPr>
    <w:rPr>
      <w:rFonts w:ascii="Songti SC" w:hAnsi="Songti SC" w:eastAsia="Songti SC"/>
      <w:color w:val="000000"/>
    </w:rPr>
  </w:style>
  <w:style w:type="paragraph" w:styleId="ListBullet3">
    <w:name w:val="List Bullet 3"/>
    <w:basedOn w:val="Normal"/>
    <w:uiPriority w:val="99"/>
    <w:unhideWhenUsed/>
    <w:rsid w:val="00326F90"/>
    <w:pPr>
      <w:numPr>
        <w:numId w:val="3"/>
      </w:numPr>
      <w:contextualSpacing/>
    </w:pPr>
    <w:rPr>
      <w:rFonts w:ascii="Songti SC" w:hAnsi="Songti SC" w:eastAsia="Songti SC"/>
      <w:color w:val="000000"/>
    </w:rPr>
  </w:style>
  <w:style w:type="paragraph" w:styleId="ListNumber">
    <w:name w:val="List Number"/>
    <w:basedOn w:val="Normal"/>
    <w:uiPriority w:val="99"/>
    <w:unhideWhenUsed/>
    <w:rsid w:val="00326F90"/>
    <w:pPr>
      <w:numPr>
        <w:numId w:val="5"/>
      </w:numPr>
      <w:contextualSpacing/>
    </w:pPr>
    <w:rPr>
      <w:rFonts w:ascii="Songti SC" w:hAnsi="Songti SC" w:eastAsia="Songti SC"/>
      <w:color w:val="000000"/>
    </w:rPr>
  </w:style>
  <w:style w:type="paragraph" w:styleId="ListNumber2">
    <w:name w:val="List Number 2"/>
    <w:basedOn w:val="Normal"/>
    <w:uiPriority w:val="99"/>
    <w:unhideWhenUsed/>
    <w:rsid w:val="0029639D"/>
    <w:pPr>
      <w:numPr>
        <w:numId w:val="6"/>
      </w:numPr>
      <w:contextualSpacing/>
    </w:pPr>
    <w:rPr>
      <w:rFonts w:ascii="Songti SC" w:hAnsi="Songti SC" w:eastAsia="Songti SC"/>
      <w:color w:val="000000"/>
    </w:rPr>
  </w:style>
  <w:style w:type="paragraph" w:styleId="ListNumber3">
    <w:name w:val="List Number 3"/>
    <w:basedOn w:val="Normal"/>
    <w:uiPriority w:val="99"/>
    <w:unhideWhenUsed/>
    <w:rsid w:val="0029639D"/>
    <w:pPr>
      <w:numPr>
        <w:numId w:val="7"/>
      </w:numPr>
      <w:contextualSpacing/>
    </w:pPr>
    <w:rPr>
      <w:rFonts w:ascii="Songti SC" w:hAnsi="Songti SC" w:eastAsia="Songti SC"/>
      <w:color w:val="000000"/>
    </w:rPr>
  </w:style>
  <w:style w:type="paragraph" w:styleId="ListContinue">
    <w:name w:val="List Continue"/>
    <w:basedOn w:val="Normal"/>
    <w:uiPriority w:val="99"/>
    <w:unhideWhenUsed/>
    <w:rsid w:val="0029639D"/>
    <w:pPr>
      <w:spacing w:after="120"/>
      <w:ind w:left="360"/>
      <w:contextualSpacing/>
    </w:pPr>
    <w:rPr>
      <w:rFonts w:ascii="Songti SC" w:hAnsi="Songti SC" w:eastAsia="Songti SC"/>
      <w:color w:val="000000"/>
    </w:rPr>
  </w:style>
  <w:style w:type="paragraph" w:styleId="ListContinue2">
    <w:name w:val="List Continue 2"/>
    <w:basedOn w:val="Normal"/>
    <w:uiPriority w:val="99"/>
    <w:unhideWhenUsed/>
    <w:rsid w:val="0029639D"/>
    <w:pPr>
      <w:spacing w:after="120"/>
      <w:ind w:left="720"/>
      <w:contextualSpacing/>
    </w:pPr>
    <w:rPr>
      <w:rFonts w:ascii="Songti SC" w:hAnsi="Songti SC" w:eastAsia="Songti SC"/>
      <w:color w:val="000000"/>
    </w:rPr>
  </w:style>
  <w:style w:type="paragraph" w:styleId="ListContinue3">
    <w:name w:val="List Continue 3"/>
    <w:basedOn w:val="Normal"/>
    <w:uiPriority w:val="99"/>
    <w:unhideWhenUsed/>
    <w:rsid w:val="0029639D"/>
    <w:pPr>
      <w:spacing w:after="120"/>
      <w:ind w:left="1080"/>
      <w:contextualSpacing/>
    </w:pPr>
    <w:rPr>
      <w:rFonts w:ascii="Songti SC" w:hAnsi="Songti SC" w:eastAsia="Songti SC"/>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ongti SC" w:hAnsi="Songti SC" w:eastAsia="Songti SC"/>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Songti SC" w:hAnsi="Songti SC" w:eastAsia="Songti SC"/>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ngti SC" w:hAnsi="Songti SC" w:eastAsia="Songti S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Songti SC" w:hAnsi="Songti SC" w:eastAsia="Songti SC"/>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Songti SC" w:hAnsi="Songti SC" w:eastAsia="Songti SC"/>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dicalBody">
    <w:name w:val="Medical Body"/>
    <w:basedOn w:val="Normal"/>
    <w:pPr>
      <w:spacing w:after="60"/>
    </w:pPr>
  </w:style>
  <w:style w:type="paragraph" w:customStyle="1" w:styleId="Fence">
    <w:name w:val="Fence"/>
    <w:basedOn w:val="Normal"/>
    <w:pPr>
      <w:spacing w:after="6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骨科检验影像病理及特殊检查结果分析模板库</dc:title>
  <dc:subject>骨科病历辅助规则与模板 V2.0</dc:subject>
  <dc:creator>病历模板库</dc:creator>
  <cp:keywords/>
  <dc:description>generated by python-docx</dc:description>
  <cp:lastModifiedBy/>
  <cp:revision>1</cp:revision>
  <dcterms:created xsi:type="dcterms:W3CDTF">2013-12-23T23:15:00Z</dcterms:created>
  <dcterms:modified xsi:type="dcterms:W3CDTF">2013-12-23T23:15:00Z</dcterms:modified>
  <cp:category/>
</cp:coreProperties>
</file>