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骨科治疗决策围手术期用药及医嘱表达规则库</w:t>
      </w:r>
    </w:p>
    <w:p>
      <w:r>
        <w:t>版本 V2.0  |  更新与核验日期 2026年10月25日  |  第二级模块</w:t>
      </w:r>
    </w:p>
    <w:p>
      <w:r>
        <w:t>管理保守/手术、抗菌、抗栓、镇痛及其他治疗的适应性与执行状态。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功能定位：管理保守/手术、抗菌、抗栓、镇痛及其他治疗的适应性与执行状态。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自动调用条件：任何治疗选择、药物调整停用、抗菌/抗栓、输血、营养或支持治疗表达。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知识 计划 医嘱 执行 停变分层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6120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可写内容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所需证据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知识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某人群可考虑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明确来源、人群和限制，不当本例事实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拟定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拟/建议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真实医师意见及条件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已开立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已开医嘱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处方/医嘱，不等于给药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已执行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已予/已完成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执行时间、药物剂量途径/操作及来源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停变取消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已停/暂停/调整/拒绝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原因、决定及实际执行，不能悄然续回旧方案</w:t>
            </w:r>
          </w:p>
        </w:tc>
      </w:tr>
    </w:tbl>
    <w:p>
      <w:pPr>
        <w:pStyle w:val="Heading1"/>
      </w:pPr>
      <w:r>
        <w:t>四 围术期治疗更新</w:t>
      </w:r>
    </w:p>
    <w:p>
      <w:pPr>
        <w:pStyle w:val="Heading2"/>
      </w:pPr>
      <w:r>
        <w:t>抗菌预防与感染治疗</w:t>
      </w:r>
    </w:p>
    <w:p>
      <w:r>
        <w:t>预防和治疗目的、切口类别、实际病原及器官风险分开；引流在位不自动延长预防，发热/CRP升高不自动广谱联合；不由骨折类型直接填剂量和疗程。</w:t>
      </w:r>
    </w:p>
    <w:p>
      <w:pPr>
        <w:pStyle w:val="Heading2"/>
      </w:pPr>
      <w:r>
        <w:t>VTE与出血</w:t>
      </w:r>
    </w:p>
    <w:p>
      <w:r>
        <w:t>病种、活动、年龄、既往VTE、肝肾功能、出血、椎管内麻醉/导管和手术时点共同评估；机械与药物状态分开，儿童不直接套成人风险工具和药量。</w:t>
      </w:r>
    </w:p>
    <w:p>
      <w:pPr>
        <w:pStyle w:val="Heading2"/>
      </w:pPr>
      <w:r>
        <w:t>抗凝停复</w:t>
      </w:r>
    </w:p>
    <w:p>
      <w:r>
        <w:t>原适应证、药物末次、肾功能、手术和麻醉、止血及执行证据；不能固定所有患者术后同一时点复药。</w:t>
      </w:r>
    </w:p>
    <w:p>
      <w:pPr>
        <w:pStyle w:val="Heading2"/>
      </w:pPr>
      <w:r>
        <w:t>镇痛</w:t>
      </w:r>
    </w:p>
    <w:p>
      <w:r>
        <w:t>药物、剂量、途径、频次、追加和反应要真实；过度镇静、呼吸、肾胃肠和跌倒风险，疼痛升级不能单纯掩盖急症。</w:t>
      </w:r>
    </w:p>
    <w:p>
      <w:pPr>
        <w:pStyle w:val="Heading2"/>
      </w:pPr>
      <w:r>
        <w:t>输血与贫血</w:t>
      </w:r>
    </w:p>
    <w:p>
      <w:r>
        <w:t>血红蛋白趋势、出血/症状和共病评估；不能仅单值自动认定输血，实际血制品数量反应须来源。</w:t>
      </w:r>
    </w:p>
    <w:p>
      <w:pPr>
        <w:pStyle w:val="Heading2"/>
      </w:pPr>
      <w:r>
        <w:t>糖皮质激素与骨质治疗</w:t>
      </w:r>
    </w:p>
    <w:p>
      <w:r>
        <w:t>适应证、感染及器官风险，SCI不默认大剂量激素；骨质药品需明确适用人群、钙维生素D/肾功能等核验。</w:t>
      </w:r>
    </w:p>
    <w:p>
      <w:pPr>
        <w:pStyle w:val="Heading2"/>
      </w:pPr>
      <w:r>
        <w:t>营养与白蛋白</w:t>
      </w:r>
    </w:p>
    <w:p>
      <w:r>
        <w:t>营养评估和实际摄入独立；白蛋白低不自动静滴白蛋白。</w:t>
      </w:r>
    </w:p>
    <w:p>
      <w:pPr>
        <w:pStyle w:val="Heading2"/>
      </w:pPr>
      <w:r>
        <w:t>儿童剂量</w:t>
      </w:r>
    </w:p>
    <w:p>
      <w:r>
        <w:t>实际体重、测量日期、年龄、制剂浓度、mg/kg与总量/最大量、途径及肝肾条件齐全；不默认体重、不按成人剂量简单减半。</w:t>
      </w:r>
    </w:p>
    <w:p>
      <w:pPr>
        <w:pStyle w:val="Heading2"/>
      </w:pPr>
      <w:r>
        <w:t>显微与创伤血管抗栓</w:t>
      </w:r>
    </w:p>
    <w:p>
      <w:r>
        <w:t>再植、皮瓣、动脉修复及关节置换等不能共用一个自动抗栓方案，出血与手术策略由团队实际决定。</w:t>
      </w:r>
    </w:p>
    <w:p>
      <w:pPr>
        <w:keepNext/>
      </w:pPr>
      <w:r>
        <w:t>【文书日期及时间】 治疗决策及执行记录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针对【真实问题】，已评估【本例适应证、禁忌及风险资料】。医师拟定【真实方案及条件】，医嘱状态【实际】，已执行【药物名称剂量途径频次及时间或具体操作】，反应【实际】；暂停或变更【真实理由和时点】，后续【具体监测】。</w:t>
      </w:r>
    </w:p>
    <w:p>
      <w:pPr>
        <w:pStyle w:val="Fence"/>
      </w:pPr>
      <w:r>
        <w:t>```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治疗连续性管理</w:t>
      </w:r>
    </w:p>
    <w:p>
      <w:r>
        <w:t>治疗属于动态信息；以下均属于动态变量：抗菌药物；抗凝；镇痛；消肿；输液；输血；心电监护；吸氧；引流；VSD；石膏；支具；牵引；外固定；负重；功能锻炼；其他治疗。不得无依据从昨日直接复制至今日。治疗状态统一分为；未使用。拟使用。已开始。继续使用。调整中。暂停。停用。已完成。重新启用。必须根据当前资料选择正确状态。治疗不能无故出现；昨日和此前均未记录抗菌药物，今日用户也没有提供：不得突然写：“继续抗感染治疗。”治疗不能无故消失；例如昨日明确：“石膏外固定。”今天没有拆除资料：可以继续继承石膏固定这一相对持续状态。</w:t>
      </w:r>
    </w:p>
    <w:p>
      <w:r>
        <w:t>但不能写：“石膏已拆除。”</w:t>
      </w:r>
    </w:p>
    <w:p>
      <w:pPr>
        <w:pStyle w:val="Heading3"/>
      </w:pPr>
      <w:r>
        <w:t>保守治疗</w:t>
      </w:r>
    </w:p>
    <w:p>
      <w:r>
        <w:t>骨科保守治疗可能包括；根据实际病情选择：制动；抬高；冰敷；石膏；夹板；支具；牵引；镇痛；消肿；功能锻炼；复查影像；负重限制；其他。不得机械全部加入。保守治疗模板；结合患者目前病情，暂予保守治疗，继续予患肢……固定/保护，适当抬高患肢，根据患者实际情况予镇痛、消肿等对症处理，严密观察患肢疼痛、肿胀、感觉、运动及末梢血运变化，定期复查相关影像学检查，根据骨折/损伤稳定性及恢复情况进一步调整固定、活动及负重方案。其中具体固定方式必须真实。保守治疗不是“什么都不做”病程应体现：为什么暂不手术；目前采取什么保护；观察什么；</w:t>
      </w:r>
    </w:p>
    <w:p>
      <w:r>
        <w:t>什么时候复查；哪些变化可能导致治疗方案调整。</w:t>
      </w:r>
    </w:p>
    <w:p>
      <w:pPr>
        <w:pStyle w:val="Heading3"/>
      </w:pPr>
      <w:r>
        <w:t>制动与患肢保护</w:t>
      </w:r>
    </w:p>
    <w:p>
      <w:r>
        <w:t>制动适用于实际存在相应指征者；可能包括：石膏；夹板；支具；牵引；外固定；其他保护方式。不得笼统把所有骨折写成：“绝对制动。”通用表达；“继续予患肢适当制动及保护，避免患肢不当活动及过早负重。”如已有具体固定：“继续予左下肢石膏外固定，注意观察石膏松紧度及患肢远端感觉、运动和末梢血运变化。”</w:t>
      </w:r>
    </w:p>
    <w:p>
      <w:pPr>
        <w:pStyle w:val="Heading3"/>
      </w:pPr>
      <w:r>
        <w:t>患肢抬高</w:t>
      </w:r>
    </w:p>
    <w:p>
      <w:r>
        <w:t>适用；创伤后肿胀；术后肿胀；软组织损伤；其他实际情况。表达：“指导患者适当抬高患肢，以利于肿胀消退。”不得在存在明确血供障碍等特殊情况下机械套用，应结合实际病情。</w:t>
      </w:r>
    </w:p>
    <w:p>
      <w:pPr>
        <w:pStyle w:val="Heading3"/>
      </w:pPr>
      <w:r>
        <w:t>冰敷</w:t>
      </w:r>
    </w:p>
    <w:p>
      <w:r>
        <w:t>冰敷只能在实际医嘱或明确治疗计划支持时写入；不得因为急性损伤就自动写：“予冰敷治疗。”如实际使用：“予患处间断冰敷，注意避免局部冻伤。”</w:t>
      </w:r>
    </w:p>
    <w:p>
      <w:pPr>
        <w:pStyle w:val="Heading3"/>
      </w:pPr>
      <w:r>
        <w:t>消肿治疗</w:t>
      </w:r>
    </w:p>
    <w:p>
      <w:r>
        <w:t>“消肿治疗”属于治疗事实；用户明确：“目前予以消肿治疗。”可写：“目前继续予消肿等对症治疗。”若没有具体药物：不得自行补充具体药名。消肿治疗应结合局部观察；重点观察：肿胀变化；皮肤张力；水疱；疼痛；感觉；运动；末梢血运。等待手术患者尤其应关注软组织条件。</w:t>
      </w:r>
    </w:p>
    <w:p>
      <w:pPr>
        <w:pStyle w:val="Heading3"/>
      </w:pPr>
      <w:r>
        <w:t>镇痛治疗</w:t>
      </w:r>
    </w:p>
    <w:p>
      <w:r>
        <w:t>镇痛表达；如用户仅提供：“予止痛治疗。”写：“予镇痛等对症治疗。”不得自行补充：塞来昔布；氟比洛芬酯；曲马多；布洛芬；其他药物。镇痛后需要评估效果；如有资料，可写：“经镇痛治疗后疼痛较前缓解。”没有复评资料不得自动写“疼痛明显缓解”。疼痛异常加重；不能机械增加镇痛药后结束。应首先调用06异常病情库，评估：骨筋膜室压力；血肿；固定过紧；神经血管异常；感染；内固定异常；其他原因。</w:t>
      </w:r>
    </w:p>
    <w:p>
      <w:pPr>
        <w:pStyle w:val="Heading3"/>
      </w:pPr>
      <w:r>
        <w:t>抗菌药物总原则</w:t>
      </w:r>
    </w:p>
    <w:p>
      <w:r>
        <w:t>必须区分；A.预防性抗菌药物。B.治疗性抗菌药物。C.开放伤/污染伤相关使用。D.明确感染后的抗菌治疗。不得全部写成：“抗感染治疗。”预防性使用；如真实医嘱为围手术期预防性使用：优先表达：“予预防性抗菌药物治疗。”而不是：“予抗感染治疗。”避免造成患者已经存在感染的错误印象。治疗性使用；只有存在明确或高度疑似感染并且实际已经使用时，可根据真实情况写：“予抗感染治疗。”如病原学已明确，可结合培养结果分析。不得自动启用抗菌药物；以下情况均不能单独成为AI自动添加抗菌药物的依据：术后发热；WBC升高；CRP升高；</w:t>
      </w:r>
    </w:p>
    <w:p>
      <w:r>
        <w:t>切口轻度红；少量渗液；开放骨折诊断本身；术后状态本身。是否使用必须依据真实医嘱。</w:t>
      </w:r>
    </w:p>
    <w:p>
      <w:pPr>
        <w:pStyle w:val="Heading3"/>
      </w:pPr>
      <w:r>
        <w:t>抗菌药物停用</w:t>
      </w:r>
    </w:p>
    <w:p>
      <w:r>
        <w:t>用户明确要求停药时；例如：“今天停用头孢唑林钠。”病程可以写：“结合患者目前术后恢复情况，今日按医嘱停用头孢唑林钠，继续观察体温、切口及感染相关指标变化。”如果没有提供停药原因：不得擅自写：“因患者无感染故停药。”如有临床依据可分析停药；例如真实资料支持：患者无发热；切口无明显感染征象；相关指标无明显感染证据；使用目的为围手术期预防。可以写：“结合患者目前临床表现及切口情况，暂未见明确感染征象，今日按医嘱停用预防性抗菌药物，继续动态观察。”停药后下一日；如果确实已停：不得再写：“继续予抗菌药物治疗。”</w:t>
      </w:r>
    </w:p>
    <w:p>
      <w:r>
        <w:t>除非有重新启用医嘱。</w:t>
      </w:r>
    </w:p>
    <w:p>
      <w:pPr>
        <w:pStyle w:val="Heading3"/>
      </w:pPr>
      <w:r>
        <w:t>VTE风险管理</w:t>
      </w:r>
    </w:p>
    <w:p>
      <w:r>
        <w:t>骨科VTE管理必须同时评估；血栓风险。出血风险。二者缺一不可。高风险背景根据真实资料选择；髋部骨折；骨盆骨折；下肢骨折；关节置换；脊柱手术；长期卧床；高龄；恶性肿瘤；既往VTE；其他。不得自行补充患者不存在的危险因素。VTE预防分为；基础预防。机械预防。药物预防。具体措施必须与真实医嘱一致。基础预防表达；在适宜情况下可包括：适当饮水；避免脱水；早期活动；踝泵等。但具体是否适合当前患者需结合病情。不能对严格制动或存在特殊禁忌患者机械写“早期下床”。机械预防；包括实际使用的：间歇充气加压装置；弹力袜；其他。</w:t>
      </w:r>
    </w:p>
    <w:p>
      <w:r>
        <w:t>没有使用资料不得自行添加。药物预防；只有实际医嘱明确时方可写具体药物。不得仅因：髋部骨折；关节置换；D-二聚体高；就自动写：“予低分子肝素抗凝。”VTE通用表达；如果只知道需要进行风险管理而没有具体药物：“结合患者目前骨折/术后及活动受限状态，需重视VTE风险，同时结合出血风险进行综合评估，根据患者实际情况采取相应预防措施，并严密观察有无患肢异常肿胀、疼痛及胸闷、胸痛、呼吸困难等表现。”</w:t>
      </w:r>
    </w:p>
    <w:p>
      <w:pPr>
        <w:pStyle w:val="Heading3"/>
      </w:pPr>
      <w:r>
        <w:t>治疗性抗凝</w:t>
      </w:r>
    </w:p>
    <w:p>
      <w:r>
        <w:t>预防性抗凝与治疗性抗凝必须区分；预防剂量 ≠ 治疗剂量。预防VTE ≠ 治疗已经形成的DVT。明确DVT后的治疗；只有真实医嘱存在时才写：“予治疗性抗凝。”不得由AI根据超声结果自行确定：药物；剂量；频次；疗程。抗凝期间重点观察；出血；切口；引流；Hb；血小板；凝血；其他实际相关指标。</w:t>
      </w:r>
    </w:p>
    <w:p>
      <w:pPr>
        <w:pStyle w:val="Heading3"/>
      </w:pPr>
      <w:r>
        <w:t>输血</w:t>
      </w:r>
    </w:p>
    <w:p>
      <w:r>
        <w:t>输血属于重大治疗事实；没有实际医嘱绝不能自动生成。输血决策不能只看Hb；应综合：Hb水平；下降趋势；临床症状；循环状态；持续失血；年龄；心肺基础；手术情况；其他因素。尚未决定输血；可写：“患者目前存在贫血，继续动态复查血常规，结合患者临床表现及血红蛋白变化评估是否需进一步处理。”不得写：“拟输血。”除非真实计划已经存在。已经输血；根据真实资料写：“患者今日予输注……。”具体：血液制品；单位；时间；输血反应；必须有真实资料。</w:t>
      </w:r>
    </w:p>
    <w:p>
      <w:pPr>
        <w:pStyle w:val="Heading3"/>
      </w:pPr>
      <w:r>
        <w:t>低白蛋白及营养支持</w:t>
      </w:r>
    </w:p>
    <w:p>
      <w:r>
        <w:t>低白蛋白不自动等于输白蛋白；可以写：“白蛋白降低，提示患者蛋白及营养状态存在异常，需结合饮食、基础疾病、肝肾功能及围手术期情况综合评估，加强营养支持并动态复查。”营养支持；根据真实情况可以包括：饮食指导；肠内营养；肠外营养；蛋白补充；其他。不得自行添加具体制剂。人血白蛋白；只有实际医嘱存在时方可写。不得：白蛋白低；→自动写“予人血白蛋白”。</w:t>
      </w:r>
    </w:p>
    <w:p>
      <w:pPr>
        <w:pStyle w:val="Heading3"/>
      </w:pPr>
      <w:r>
        <w:t>补液</w:t>
      </w:r>
    </w:p>
    <w:p>
      <w:r>
        <w:t>补液属于实际治疗；没有资料不得机械写：“予补液支持。”补液需要结合；循环；饮食；尿量；电解质；肾功能；心功能；围手术期阶段。不得自行生成液体种类及剂量。</w:t>
      </w:r>
    </w:p>
    <w:p>
      <w:pPr>
        <w:pStyle w:val="Heading3"/>
      </w:pPr>
      <w:r>
        <w:t>电解质异常</w:t>
      </w:r>
    </w:p>
    <w:p>
      <w:r>
        <w:t>电解质异常处理原则；先识别异常：低钾；高钾；低钠；高钠；低钙；其他。再结合：严重程度；症状；心电图；肾功能；用药；补液。没有具体医嘱时；写：“予相应对症处理并动态复查电解质。”如实际已补钾：才可以写：“予补钾治疗。”具体制剂及剂量必须真实。</w:t>
      </w:r>
    </w:p>
    <w:p>
      <w:pPr>
        <w:pStyle w:val="Heading3"/>
      </w:pPr>
      <w:r>
        <w:t>血糖管理</w:t>
      </w:r>
    </w:p>
    <w:p>
      <w:r>
        <w:t>必须区分；既往糖尿病。新发现血糖异常。创伤/手术应激性升高可能。治疗表达；用户仅说：“控制血糖。”可写：“继续监测并控制血糖。”不得自动生成：胰岛素名称；剂量；给药时间；口服降糖药调整。围手术期意义；可以分析：“围手术期血糖控制不佳可能增加感染及伤口愈合相关风险，需动态监测并根据实际情况调整治疗。”</w:t>
      </w:r>
    </w:p>
    <w:p>
      <w:pPr>
        <w:pStyle w:val="Heading3"/>
      </w:pPr>
      <w:r>
        <w:t>肝肾功能异常后的用药</w:t>
      </w:r>
    </w:p>
    <w:p>
      <w:r>
        <w:t>可以表达；“结合肝肾功能情况合理调整相关药物使用，避免进一步加重肝肾功能损害。”但不能在没有医嘱时自行停用某一药物。需要专科评估时；可以写：“必要时请相关专科进一步评估。”实际已经会诊：应改写为：“已请……科会诊，建议……。”会诊意见必须忠实于真实资料。</w:t>
      </w:r>
    </w:p>
    <w:p>
      <w:pPr>
        <w:pStyle w:val="Heading3"/>
      </w:pPr>
      <w:r>
        <w:t>石膏固定</w:t>
      </w:r>
    </w:p>
    <w:p>
      <w:r>
        <w:t>石膏记录重点；部位；侧别；是否在位；松紧；完整性；肢端感觉；运动；血运；皮肤压迫。石膏在位模板；“目前左下肢石膏外固定在位，继续注意观察石膏松紧度及患肢远端感觉、运动和末梢血运变化，避免石膏受潮、松动或自行拆除。”石膏不能自动拆除；达到某个术后日或伤后周数 ≠ 可以拆石膏。必须依据真实临床决策。</w:t>
      </w:r>
    </w:p>
    <w:p>
      <w:pPr>
        <w:pStyle w:val="Heading3"/>
      </w:pPr>
      <w:r>
        <w:t>支具</w:t>
      </w:r>
    </w:p>
    <w:p>
      <w:r>
        <w:t>支具管理；明确：支具类型，如已知；使用部位；佩戴状态；活动时是否佩戴；角度限制，如真实；拆除时间，如真实。不得根据某种术式自动生成标准角度方案。</w:t>
      </w:r>
    </w:p>
    <w:p>
      <w:pPr>
        <w:pStyle w:val="Heading3"/>
      </w:pPr>
      <w:r>
        <w:t>牵引</w:t>
      </w:r>
    </w:p>
    <w:p>
      <w:r>
        <w:t>牵引必须明确真实存在；可能包括：皮牵引；骨牵引；其他。牵引记录重点；牵引状态；重量，如真实；针道，如骨牵引；患肢位置；感觉；运动；血运；皮肤。不得自行生成牵引重量。</w:t>
      </w:r>
    </w:p>
    <w:p>
      <w:pPr>
        <w:pStyle w:val="Heading3"/>
      </w:pPr>
      <w:r>
        <w:t>外固定架</w:t>
      </w:r>
    </w:p>
    <w:p>
      <w:r>
        <w:t>外固定架治疗连续性；一旦确认存在，后续病程应持续关注：架体稳定；针道；皮肤；渗液；疼痛；患肢神经血管；复查影像。直到明确：拆除；更换；转换内固定；其他实际状态改变。</w:t>
      </w:r>
    </w:p>
    <w:p>
      <w:pPr>
        <w:pStyle w:val="Heading3"/>
      </w:pPr>
      <w:r>
        <w:t>内固定</w:t>
      </w:r>
    </w:p>
    <w:p>
      <w:r>
        <w:t>内固定术后管理；关注：切口；疼痛；肿胀；感觉；运动；血运；影像；骨折愈合；负重；固定相关异常。不得因为存在内固定自动写：“固定牢固。”需要影像或医师判断支持。</w:t>
      </w:r>
    </w:p>
    <w:p>
      <w:pPr>
        <w:pStyle w:val="Heading3"/>
      </w:pPr>
      <w:r>
        <w:t>引流管管理</w:t>
      </w:r>
    </w:p>
    <w:p>
      <w:r>
        <w:t>引流存在时；记录：部位；通畅；颜色；性质；量；固定；切口；周围皮肤。引流量属于动态数据；昨日引流30ml不能复制为今日30ml。拔管必须是实际决定；不得因为：引流量少；术后第2日；术后第3日；自动生成：“今日拔除引流管。”用户明确“今天拔管”可写：“结合患者目前恢复情况，今日按医嘱予拔除……引流管，拔管后继续观察原引流口及切口有无渗血、渗液等异常。”具体拔管经过没有资料时不要补充。</w:t>
      </w:r>
    </w:p>
    <w:p>
      <w:pPr>
        <w:pStyle w:val="Heading3"/>
      </w:pPr>
      <w:r>
        <w:t>VSD管理</w:t>
      </w:r>
    </w:p>
    <w:p>
      <w:r>
        <w:t>VSD治疗状态；必须区分：拟行VSD。已行VSD。VSD持续负压治疗中。VSD异常。拟更换VSD。已更换VSD。VSD已拆除。不得因为存在VSD自动写；“负压通畅。”“引流正常。”“创面肉芽新鲜。”均需真实资料。</w:t>
      </w:r>
    </w:p>
    <w:p>
      <w:pPr>
        <w:pStyle w:val="Heading3"/>
      </w:pPr>
      <w:r>
        <w:t>切口及创面管理</w:t>
      </w:r>
    </w:p>
    <w:p>
      <w:r>
        <w:t>常规表达；如实际无特殊治疗调整：“继续保持切口/创面敷料清洁干燥，定期换药，观察局部红肿、疼痛、渗血、渗液及分泌物变化。”“定期换药”只有实际治疗方案支持时使用。出现异常；立即转入06：切口异常；感染；创面异常；VSD异常。不得继续套普通切口管理模板。</w:t>
      </w:r>
    </w:p>
    <w:p>
      <w:pPr>
        <w:pStyle w:val="Heading3"/>
      </w:pPr>
      <w:r>
        <w:t>心电监护</w:t>
      </w:r>
    </w:p>
    <w:p>
      <w:r>
        <w:t>心电监护属于动态治疗/监测状态；必须明确：正在使用；继续使用；拟停；今日停用；已停用。不能自动启用心电监护；高龄 ≠ 自动心电监护。基础疾病多 ≠ 自动心电监护。术后 ≠ 自动心电监护。必须有真实医嘱。继续心电监护；如果用户明确：“患者年龄较大、基础疾病较多，继续使用心电监护。”可写：“考虑患者年龄较大、基础疾病较多，目前继续予心电监护，严密观察患者生命体征及心肺功能变化，出现异常及时评估处理。”停用心电监护；用户明确：“今日停心电监护。”可写：</w:t>
      </w:r>
    </w:p>
    <w:p>
      <w:r>
        <w:t>“结合患者目前术后恢复情况，今日按医嘱停用心电监护，继续常规观察患者生命体征及一般情况，出现异常及时评估处理。”不得自动补：“因患者生命体征平稳。”除非有真实依据。</w:t>
      </w:r>
    </w:p>
    <w:p>
      <w:pPr>
        <w:pStyle w:val="Heading3"/>
      </w:pPr>
      <w:r>
        <w:t>吸氧</w:t>
      </w:r>
    </w:p>
    <w:p>
      <w:r>
        <w:t>吸氧必须有真实资料；不得因为患者术后自动写：“予吸氧治疗。”如实际吸氧，应根据资料记录：方式；流量，如已知；氧合情况。</w:t>
      </w:r>
    </w:p>
    <w:p>
      <w:pPr>
        <w:pStyle w:val="Heading3"/>
      </w:pPr>
      <w:r>
        <w:t>功能锻炼</w:t>
      </w:r>
    </w:p>
    <w:p>
      <w:r>
        <w:t>功能锻炼属于治疗的一部分；必须与：疾病；手术方式；修复结构；固定；术后阶段；骨折稳定性；疼痛；软组织；医师医嘱；匹配。功能锻炼可以分为；床上活动；踝泵；肌肉等长收缩；关节被动活动；关节主动活动；助行器辅助活动；步态训练；肌力训练；其他。只有适合当前病例并实际计划实施的项目才写。通用安全表达；“根据患者手术方式、固定稳定性及恢复情况，在医师指导下循序渐进开展相应功能锻炼，避免过早负重及暴力活动。”不得机械写“加强功能锻炼”例如：肌腱刚修复；韧带重建；关节内骨折；脊柱特殊术式；活动范围可能存在严格限制。</w:t>
      </w:r>
    </w:p>
    <w:p>
      <w:r>
        <w:t>因此必须调用疾病/术式特异性模块。</w:t>
      </w:r>
    </w:p>
    <w:p>
      <w:pPr>
        <w:pStyle w:val="Heading3"/>
      </w:pPr>
      <w:r>
        <w:t>负重管理</w:t>
      </w:r>
    </w:p>
    <w:p>
      <w:r>
        <w:t>负重状态统一分类；禁止负重。足尖触地负重。部分负重。逐步增加负重。完全负重。其他医师明确方案。负重状态必须明确来源；不得根据：术后时间；内固定存在；疼痛减轻；患者自觉良好；自行升级负重。没有明确负重方案；写：“具体负重时间及负重程度根据骨折愈合、固定稳定性及复查影像结果，由医师进一步指导。”不得自行给具体周数。负重升级必须有真实决定；例如用户明确：“现在可以部分负重。”才可写：“目前可在保护下逐步进行部分负重活动。”</w:t>
      </w:r>
    </w:p>
    <w:p>
      <w:pPr>
        <w:pStyle w:val="Heading3"/>
      </w:pPr>
      <w:r>
        <w:t>康复治疗</w:t>
      </w:r>
    </w:p>
    <w:p>
      <w:r>
        <w:t>康复目标根据阶段变化；早期：控制疼痛肿胀；预防并发症；保护修复结构；维持允许活动关节功能。中期：恢复关节活动；肌力；步态；日常活动能力。后期：功能恢复；力量；协调；工作及生活能力。具体内容由疾病及术式决定。康复不能脱离骨愈合及软组织修复；“患者疼痛减轻”≠；“可以增加负重”。“切口愈合”≠；“骨折已经愈合”。“骨折愈合”≠；“关节功能完全恢复”。</w:t>
      </w:r>
    </w:p>
    <w:p>
      <w:pPr>
        <w:pStyle w:val="Heading3"/>
      </w:pPr>
      <w:r>
        <w:t>治疗效果评价</w:t>
      </w:r>
    </w:p>
    <w:p>
      <w:r>
        <w:t>每项重要治疗应尽量形成闭环；开始治疗；→观察反应；→判断效果；→继续/调整/停用。例如：“予消肿治疗”“患肢肿胀较前消退”“继续目前治疗”。但只有真实动态资料支持时才能形成该闭环。不得自动写“治疗有效”如果没有治疗后资料：不得写：“经治疗后明显好转。”</w:t>
      </w:r>
    </w:p>
    <w:p>
      <w:pPr>
        <w:pStyle w:val="Heading3"/>
      </w:pPr>
      <w:r>
        <w:t>停药与停治疗的通用规则</w:t>
      </w:r>
    </w:p>
    <w:p>
      <w:r>
        <w:t>停止任何治疗前内部核对；1.治疗是否真的正在使用。2.用户是否明确停用。3.停用日期。4.是否有明确停用原因。5.停用后是否需要继续观察。6.后续病程是否同步更新。通用停用模板；“结合患者目前病情及恢复情况，今日按医嘱停用……，继续观察……，出现异常及时复查处理。”如果停用原因不明确，不要自行添加原因。同一天停多个治疗；例如用户明确：“今天停心电监护和抗生素。”可以整合：“结合患者目前术后恢复情况，今日按医嘱停用心电监护及预防性抗菌药物，继续观察患者生命体征、体温、切口及患肢恢复情况，出现异常及时评估处理。”</w:t>
      </w:r>
    </w:p>
    <w:p>
      <w:r>
        <w:t>只有抗菌药物确属预防性时才写“预防性”。</w:t>
      </w:r>
    </w:p>
    <w:p>
      <w:pPr>
        <w:pStyle w:val="Heading3"/>
      </w:pPr>
      <w:r>
        <w:t>治疗升级</w:t>
      </w:r>
    </w:p>
    <w:p>
      <w:r>
        <w:t>治疗升级必须有病情依据；例如：普通镇痛；→加强镇痛；普通换药；→清创；预防性抗菌；→治疗性抗菌；普通观察；→心电监护；保守治疗；→手术治疗；均属于重要治疗节点。病程应体现：为什么改变。治疗升级模板；“患者目前出现……，结合……，原治疗方案下……，经评估后目前予……调整为……/进一步予……治疗，继续观察治疗后症状、体征及相关检查变化，根据病情及时调整治疗方案。”具体调整必须真实。</w:t>
      </w:r>
    </w:p>
    <w:p>
      <w:pPr>
        <w:pStyle w:val="Heading3"/>
      </w:pPr>
      <w:r>
        <w:t>治疗降阶</w:t>
      </w:r>
    </w:p>
    <w:p>
      <w:r>
        <w:t>患者恢复后可逐步减少治疗；例如：停心电监护；停预防性抗菌药物；拔除引流；减少镇痛；拆除部分固定；增加活动；准备出院。这些都是恢复过程的重要节点。病程应体现降阶后的观察；不能只写：“停心电监护。”应在适当情况下补：“继续观察生命体征及一般情况。”停抗菌药物：“继续观察体温、切口及感染相关表现。”拔管：“继续观察切口及原引流口。”</w:t>
      </w:r>
    </w:p>
    <w:p>
      <w:pPr>
        <w:pStyle w:val="Heading3"/>
      </w:pPr>
      <w:r>
        <w:t>医嘱变化与病程同步</w:t>
      </w:r>
    </w:p>
    <w:p>
      <w:r>
        <w:t>重要治疗变化应在病程中体现；包括：开始重要药物；停用重要药物；手术决定；抗凝变化；输血；拔管；VSD更换；石膏调整；负重改变；康复方案改变；重要监护停止。病程与医嘱不得逻辑冲突；例如：医嘱已停抗菌药物，；病程不得继续写：“继续抗感染治疗。”已经拔除引流管，；病程不得写：“引流管通畅。”患者禁止负重，；病程不得写：“鼓励下床行走。”</w:t>
      </w:r>
    </w:p>
    <w:p>
      <w:pPr>
        <w:pStyle w:val="Heading3"/>
      </w:pPr>
      <w:r>
        <w:t>三级医师治疗决策层级</w:t>
      </w:r>
    </w:p>
    <w:p>
      <w:r>
        <w:t>主治医师；重点：执行当前治疗；分析当日疗效；处理常见异常；决定是否继续、调整或停止一般治疗；安排复查。副主任医师；重点：复核治疗策略；判断保守/手术方案；围手术期风险；治疗效果；是否需要调整主要治疗方向；康复阶段。主任医师；重点：综合判断总体治疗方向；解决重大治疗决策；手术适应证及时机；重大并发症处理方向；再次手术可能；功能预后；治疗目标。不得因为文书是主任查房就擅自添加治疗。</w:t>
      </w:r>
    </w:p>
    <w:p>
      <w:pPr>
        <w:pStyle w:val="Heading3"/>
      </w:pPr>
      <w:r>
        <w:t>治疗方案与检验结果联动</w:t>
      </w:r>
    </w:p>
    <w:p>
      <w:r>
        <w:t>检验异常不能直接变成治疗；必须经过：检验异常；→临床意义；→结合症状及病情；→判断是否需要处理；→读取真实治疗决策；→写入文书。示例；Hb低：不能自动输血。CRP高：不能自动抗菌。D-二聚体高：不能自动抗凝。白蛋白低：不能自动输白蛋白。钾低：不能自动生成具体补钾剂量。血糖高：不能自动生成胰岛素方案。</w:t>
      </w:r>
    </w:p>
    <w:p>
      <w:pPr>
        <w:pStyle w:val="Heading3"/>
      </w:pPr>
      <w:r>
        <w:t>治疗方案与影像联动</w:t>
      </w:r>
    </w:p>
    <w:p>
      <w:r>
        <w:t>影像异常同样不能自动触发重大治疗；例如：骨折移位；≠；自动手术。内固定位置改变；≠；自动翻修。关节积液；≠；自动穿刺。MRI椎间盘突出；≠；自动脊柱手术。必须结合：症状；查体；稳定性；功能；患者需求；全身情况；上级医师决策。</w:t>
      </w:r>
    </w:p>
    <w:p>
      <w:pPr>
        <w:pStyle w:val="Heading3"/>
      </w:pPr>
      <w:r>
        <w:t>治疗与患者意愿</w:t>
      </w:r>
    </w:p>
    <w:p>
      <w:r>
        <w:t>患者意愿只能依据真实资料；只有用户明确：“患者要求手术。”“患者拒绝手术。”“患者选择保守治疗。”“患者及家属同意手术。”才可写入。不得自行生成患者态度。拒绝治疗；如果患者真实拒绝重要治疗，应记录：已告知病情；治疗建议；拒绝内容；可能风险；患者/家属意见；后续处理。不得使用威胁性或责任推卸式语言。</w:t>
      </w:r>
    </w:p>
    <w:p>
      <w:pPr>
        <w:pStyle w:val="Heading3"/>
      </w:pPr>
      <w:r>
        <w:t>出院前治疗调整</w:t>
      </w:r>
    </w:p>
    <w:p>
      <w:r>
        <w:t>准备出院时重点核对；抗菌药物是否停用；抗凝是否继续；镇痛药；切口；引流；石膏；支具；外固定架；负重；功能锻炼；换药；拆线；复查；基础疾病用药。出院带药；必须依据真实出院医嘱。不得根据住院治疗自动推断患者需要带哪些药物。出院后抗凝；属于重要治疗方案。具体：药物；剂量；疗程；必须来源于真实医嘱。不得自动根据关节置换或髋部骨折生成。</w:t>
      </w:r>
    </w:p>
    <w:p>
      <w:pPr>
        <w:pStyle w:val="Heading3"/>
      </w:pPr>
      <w:r>
        <w:t>核心治疗逻辑</w:t>
      </w:r>
    </w:p>
    <w:p>
      <w:r>
        <w:t>系统必须牢记；检验异常；≠；自动用药。影像异常；≠；自动手术。疼痛；≠；自动增加镇痛药。发热；≠；自动抗菌。D-二聚体高；≠；自动抗凝。Hb低；≠；自动输血。白蛋白低；≠；自动输白蛋白。低钾；≠；自动生成补钾剂量。高血糖；≠；自动生成胰岛素方案。术后第3日；≠；自动拔管。切口愈合；≠；自动允许负重。疼痛减轻；≠；自动增加活动。达到某一术后时间；≠；自动停药。</w:t>
      </w:r>
    </w:p>
    <w:p>
      <w:pPr>
        <w:pStyle w:val="Heading3"/>
      </w:pPr>
      <w:r>
        <w:t>治疗决策完整闭环</w:t>
      </w:r>
    </w:p>
    <w:p>
      <w:r>
        <w:t>治疗决策标准流程；发现问题；→分析原因；→判断是否需要治疗；→读取医师实际决策；→开始/继续/调整治疗；→观察疗效及不良反应；→复查；→继续/调整/停止；→进入下一治疗阶段。治疗状态必须随时间更新；例如：9月6日：“予消肿、镇痛等对症治疗。”9月8日：“患肢肿胀较前消退，继续予消肿、镇痛等对症治疗，拟于明日手术。”9月9日：“患者已行手术治疗，进入术后管理阶段。”9月10日：“结合患者术后恢复情况，今日按医嘱停用心电监护及预防性抗菌药物。”后续：不得再写患者仍处于术前消肿等待手术阶段。这就是治疗时间轴。</w:t>
      </w:r>
    </w:p>
    <w:p>
      <w:pPr>
        <w:pStyle w:val="Heading1"/>
      </w:pPr>
      <w:r>
        <w:t>典型模拟病例</w:t>
      </w:r>
    </w:p>
    <w:p>
      <w:r>
        <w:t>以下全部为虚构病例，仅演示规则。虚构O007，医师拟停预防性抗菌，执行记录仍有今日给药，未核停用时点。</w:t>
      </w:r>
    </w:p>
    <w:p>
      <w:pPr>
        <w:keepNext/>
      </w:pPr>
      <w:r>
        <w:t>2026年10月25日 09:00 治疗状态记录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医师已提出停用预防性抗菌药物的计划，但今日仍有给药执行记录，需核对停用医嘱的生效时间及实际执行。不能直接写今日已停药或继续沿用原预防疗程。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[R03] 抗菌药物临床应用指导原则（2015年版）。国家卫生计生委等，2015。官方发布解读已核验；具体药品说明书和院内方案需逐例核对，不宣称本版绝对最新。</w:t>
      </w:r>
    </w:p>
    <w:p>
      <w:r>
        <w:t>https://www.nhc.gov.cn/zwgk/jdjd/201508/168a5ef6e0844a7b8d894f247d89d46a.shtml</w:t>
      </w:r>
    </w:p>
    <w:p>
      <w:r>
        <w:t>[R05] Management of Hip Fractures in Older Adults。AAOS，2021-12-03。官方指南发布及年龄范围已核验；不得外推到所有儿童或病理性骨折。</w:t>
      </w:r>
    </w:p>
    <w:p>
      <w:r>
        <w:t>https://www.aaos.org/aaos-home/newsroom/press-releases/aaos-updates-guideline-management-hip-fractures-in-older-adults/</w:t>
      </w:r>
    </w:p>
    <w:p>
      <w:r>
        <w:t>[R18] DAIR as curative strategy for acute periprosthetic hip and knee infections。EBJIS立场文件，2025。原始立场文件及急性髋膝PJI范围已核验；不外推所有慢性FRI。</w:t>
      </w:r>
    </w:p>
    <w:p>
      <w:r>
        <w:t>https://pmc.ncbi.nlm.nih.gov/articles/PMC12132041/</w:t>
      </w:r>
    </w:p>
    <w:p>
      <w:r>
        <w:t>[R19] Guideline for management of septic arthritis in native joints SANJO。EBJIS，2023；DOI10.5194/jbji-8-29-2023。原始指南范围与取样/抗菌先后原则已核验。</w:t>
      </w:r>
    </w:p>
    <w:p>
      <w:r>
        <w:t>https://pmc.ncbi.nlm.nih.gov/articles/PMC9901514/</w:t>
      </w:r>
    </w:p>
    <w:p>
      <w:r>
        <w:t>[R22] Venous thromboembolism in over16s NG89。NICE，2018，引用现行官网章节。官方骨科预防章节和年龄范围已核验；不直接代替国内个体医嘱。</w:t>
      </w:r>
    </w:p>
    <w:p>
      <w:r>
        <w:t>https://www.nice.org.uk/guidance/ng89/chapter/Recommendations</w:t>
      </w:r>
    </w:p>
    <w:p>
      <w:pPr>
        <w:pStyle w:val="Heading1"/>
      </w:pPr>
      <w:r>
        <w:t>更新与维护说明</w:t>
      </w:r>
    </w:p>
    <w:p>
      <w:r>
        <w:t>本版承接原《骨科治疗决策、围手术期用药及医嘱表达规则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07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骨科治疗决策围手术期用药及医嘱表达规则库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