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骨科AI自动调用路由与病例状态管理规则库</w:t>
      </w:r>
    </w:p>
    <w:p>
      <w:r>
        <w:t>版本 V2.0  |  更新与核验日期 2026年10月25日  |  第二级模块</w:t>
      </w:r>
    </w:p>
    <w:p>
      <w:r>
        <w:t>管理患者/住院/损伤/操作隔离、事实状态与时间，按任务最少调度。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功能定位：管理患者/住院/损伤/操作隔离、事实状态与时间，按任务最少调度。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自动调用条件：任何新病例、新资料、跨日、多次手术、治疗/装置变化、纠正和出院请求。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自动识别</w:t>
      </w:r>
    </w:p>
    <w:p>
      <w:r>
        <w:t>识别患者、新病例、住院次、病种及多损伤、文书/医师层级、当次软组织与神经血管、诊断状态、保守/拟术/已术、多次操作、术后阶段、实际装置、检查/培养病理新增、药物调整、急变、康复许可、出院和用户纠正。未知不沿用前例或默认正常。</w:t>
      </w:r>
    </w:p>
    <w:p>
      <w:pPr>
        <w:pStyle w:val="Heading1"/>
      </w:pPr>
      <w:r>
        <w:t>四 通用字段包装与来源</w:t>
      </w:r>
    </w:p>
    <w:p>
      <w:r>
        <w:t>每字段：value、status、patient_id、encounter_id、injury_id/lesion_id、procedure_id（适用时）、event_time、recorded_at、available_at、source_id、source_type、author、verification、supersedes。value与状态分开；0不能代表未知。unknown未知、pending_verification待核实、not_examined未查、planned拟定、ordered已开立、prepared准备完成、started已开始、performed已实施、completed已完成、paused暂停、stopped停用、removed已移除、cancelled已取消、declined拒绝、confirmed_negative有依据阴性、not_applicable不适用。</w:t>
      </w:r>
    </w:p>
    <w:p>
      <w:pPr>
        <w:pStyle w:val="Heading1"/>
      </w:pPr>
      <w:r>
        <w:t>五 骨科病例状态表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1944"/>
        <w:gridCol w:w="5112"/>
      </w:tblGrid>
      <w:tr>
        <w:trPr>
          <w:tblHeader/>
        </w:trP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字段键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/>
                <w:sz w:val="20"/>
              </w:rPr>
              <w:t>核对规则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patient_id encounter_id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患者与本次住院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姓名/就诊号/住院次等交叉核验，床号非唯一键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injury_id lesion_id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损伤病灶事件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可多发、双侧或不同骨段，每处独立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onset injury_time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发病受伤时间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发生与发现、转运及入院分别记录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anatomy laterality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骨关节/节段及左右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具体位置、邻近结构和多部位分别表示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diagnosis_version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诊断及确定度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原始、考虑、确诊、修正、排除及证据版本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classification scale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分型与评分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体系版本、分项、时间、评估者及限制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current_exam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当次查体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皮肤软组织、神经血管、肌力感觉运动及测量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studies specimens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检查和标本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采集/检查、报告回报时间与原文各自保存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procedure_id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每次操作主键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复位、一期外固定、二期固定、清创、再手术独立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procedure_state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操作阶段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拟/准备/开始/完成/取消，不能靠标题推进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procedure_name site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实际术名部位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侧别、上下界节段及计划/实际差异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procedure_times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手术日期及时间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院内登记日期、开始结束、跨午夜口径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anesthesia surgeon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麻醉与术者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真实方式、转换、操作者和授权来源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intra_findings actions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术中所见与操作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按实际记录逐事件，不从标准步骤补全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implants devices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器械及植入物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型号规格数量、UDI/批号如有、取出/回收/保留/新植入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blood_loss transfusion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出血与输血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估计/实测、单位、血制品和执行时间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drains NPWT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引流与负压装置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部位、数量、量色、负压如实测、置入停用移除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cast brace traction fixator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石膏支具牵引外固定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范围位置、参数来源及当次神经血运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medications orders administrations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治疗与执行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计划、医嘱、给药、停变、拒绝及原因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complication_state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并发症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风险/疑似/确证/未查/明确阴性，不用未知当无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activity_permission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活动许可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主动被动、ROM与保护结构、决策来源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weight_permission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负重许可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方案、比例如真实、条件和时点，不由术后日推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actual_function rehab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实际能力及训练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器具、帮助、距离、内容、反应与停止原因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growth guardian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儿童生长及监护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年龄体重、骨龄骨骺来源、沟通及生长随访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consult senior_opinion consent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会诊上级及知情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意见者时间内容、采纳执行与签署状态</w:t>
            </w:r>
          </w:p>
        </w:tc>
      </w:tr>
      <w:tr>
        <w:tc>
          <w:tcPr>
            <w:tcW w:type="dxa" w:w="2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discharge followup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出院与随访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>
            <w:pPr>
              <w:spacing w:after="60" w:before="40"/>
            </w:pPr>
            <w:r>
              <w:rPr>
                <w:b w:val="0"/>
                <w:sz w:val="20"/>
              </w:rPr>
              <w:t>最终诊断、带药、装置、功能、负重和未回结果责任</w:t>
            </w:r>
          </w:p>
        </w:tc>
      </w:tr>
    </w:tbl>
    <w:p>
      <w:pPr>
        <w:pStyle w:val="Heading1"/>
      </w:pPr>
      <w:r>
        <w:t>六 状态转换与事件隔离</w:t>
      </w:r>
    </w:p>
    <w:p>
      <w:r>
        <w:t>操作：unknown→核实拟行→prepared→started→completed；拟/准备可cancelled；完成后复查和后续操作另建事件。药物：planned→ordered→实际administration，暂停/停用/拒绝分别记录。装置：拟用→实际置入→观察/更换→移除，禁止由术后日触发移除。外固定转内固定、清创后重建、假体一期二期都以独立procedure_id记录。</w:t>
      </w:r>
    </w:p>
    <w:p>
      <w:r>
        <w:t>同一患者多发骨折分injury_id，左右侧、皮肤和神经血运不交叉覆盖；同侧不同骨段仍独立。同患者新住院可引用旧史，不继承旧查体、在位装置、给药执行、现行负重或旧培养为当前状态。</w:t>
      </w:r>
    </w:p>
    <w:p>
      <w:pPr>
        <w:pStyle w:val="Heading1"/>
      </w:pPr>
      <w:r>
        <w:t>七 时间轴与未来信息</w:t>
      </w:r>
    </w:p>
    <w:p>
      <w:r>
        <w:t>受伤→就诊→入院→检查采集→报告回报→诊断及治疗决策→真实实施→复评→康复出院分别管理；病理报告available_at晚于文书时点不能用于当时确诊。更正有修订来源，保留旧版合理认识。</w:t>
      </w:r>
    </w:p>
    <w:p>
      <w:r>
        <w:t>术后日按文书Asia/Shanghai当地日期减经核实的院内手术登记日期，同日第0日、次日第1日。跨午夜若归日不明先核对或写距结束小时；缺日期、未完成或未来手术不计算。多次手术分别算，不能只取最近日期覆盖所有装置和损伤。</w:t>
      </w:r>
    </w:p>
    <w:p>
      <w:pPr>
        <w:pStyle w:val="Heading1"/>
      </w:pPr>
      <w:r>
        <w:t>八 最小路由及运行协议</w:t>
      </w:r>
    </w:p>
    <w:p>
      <w:r>
        <w:t>创伤骨折首次病程：01＋11＋02＋03＋101＋10。有报告分析加04，治疗决策加07。</w:t>
      </w:r>
    </w:p>
    <w:p>
      <w:r>
        <w:t>主任查房 拟行骨折固定：01＋11＋02＋05＋08＋101＋10。主任意见真实，不能从拟行生成术后事实。</w:t>
      </w:r>
    </w:p>
    <w:p>
      <w:r>
        <w:t>骨折固定术后首次病程：01＋11＋02＋03＋05＋101＋10。器械操作从原始记录，异常加06。</w:t>
      </w:r>
    </w:p>
    <w:p>
      <w:r>
        <w:t>脊柱术后神经恶化：01＋11＋03＋04＋05＋06＋102＋10。临床急评优先；查房加08。</w:t>
      </w:r>
    </w:p>
    <w:p>
      <w:r>
        <w:t>关节置换合并PJI疑点：01＋11＋02＋04＋07＋103＋106＋10。诊断体系和治疗选择分开。</w:t>
      </w:r>
    </w:p>
    <w:p>
      <w:r>
        <w:t>半月板缝合后康复：01＋11＋05＋09＋104＋10。修复/切除不同方案；许可与实际能力分开。</w:t>
      </w:r>
    </w:p>
    <w:p>
      <w:r>
        <w:t>再植或皮瓣血运异常：01＋11＋03＋05＋06＋105＋10。当次实查，不复制旧血运。</w:t>
      </w:r>
    </w:p>
    <w:p>
      <w:r>
        <w:t>骨肿瘤病理回报：01＋11＋02＋04＋107＋10。病理版本与回报时间，需决策加08。</w:t>
      </w:r>
    </w:p>
    <w:p>
      <w:r>
        <w:t>儿童髁上骨折复位后：01＋11＋02＋03＋05＋108＋10。灌注与脉搏分开；异常加06。</w:t>
      </w:r>
    </w:p>
    <w:p>
      <w:r>
        <w:t>感染性骨不连：01＋11＋02＋04＋07＋101＋106＋10。骨折愈合、稳定和感染各自证据。</w:t>
      </w:r>
    </w:p>
    <w:p>
      <w:r>
        <w:t>脆性骨折及骨病管理：01＋11＋02＋09＋101＋107＋10。不把低能量直接认恶性病理骨折。</w:t>
      </w:r>
    </w:p>
    <w:p>
      <w:r>
        <w:t>出院记录及带药：01＋11＋02＋07＋09＋相关专病＋10。手术者加05、所有操作与停药装置一致。</w:t>
      </w:r>
    </w:p>
    <w:p>
      <w:r>
        <w:t>执行顺序：01约束→建立当前病例主键→隔离异身份来源→逐字段核验时间和状态→判断关键冲突→选相关模块→生成候选→10终审→代码框输出。只报告分析可省02；非手术不强加05，非查房不强加08；源文件未加载时不得自称已读取。</w:t>
      </w:r>
    </w:p>
    <w:p>
      <w:pPr>
        <w:pStyle w:val="Heading1"/>
      </w:pPr>
      <w:r>
        <w:t>九 负重与儿童特有分支</w:t>
      </w:r>
    </w:p>
    <w:p>
      <w:r>
        <w:t>结构状态、负重许可、活动许可、实际功能和训练执行五者独立。儿童另建实际年龄/体重、骨龄和骺板证据、生长风险及监护状态；骨折愈合不关闭长期生长随访事件。</w:t>
      </w:r>
    </w:p>
    <w:p>
      <w:pPr>
        <w:pStyle w:val="Heading1"/>
      </w:pPr>
      <w:r>
        <w:t>典型模拟病例</w:t>
      </w:r>
    </w:p>
    <w:p>
      <w:r>
        <w:t>以下全部为虚构病例，仅演示规则。虚构O011/E01，P01外固定10月20日、P02清创10月24日，10月25日记录；P03内固定仅计划。</w:t>
      </w:r>
    </w:p>
    <w:p>
      <w:pPr>
        <w:keepNext/>
      </w:pPr>
      <w:r>
        <w:t>2026年10月25日 09:00 多次操作状态记录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本次住院已于10月20日完成外固定，于10月24日完成清创，按各自核实手术日期分别为术后第5日和第1日。后续内固定仍为拟行事件，不能生成其术后日、植入物或已完成事实；当前装置和负重许可需按真实记录分别核对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[R09] Supracondylar Fractures of the Humerus in Children。BOASt，2020年10月更新。官方神经血运实查、复位前后复评及缺血处理范围已核验。</w:t>
      </w:r>
    </w:p>
    <w:p>
      <w:r>
        <w:t>https://www.boa.ac.uk/resource/boast-11-pdf.html</w:t>
      </w:r>
    </w:p>
    <w:p>
      <w:r>
        <w:t>[R10] International Standards for Neurological Classification of Spinal Cord Injury Revised 2019。ASIA与ISCoS，2019修订。官方修订发布与评估目的已核验；完整评分及后续勘误需按正式表。</w:t>
      </w:r>
    </w:p>
    <w:p>
      <w:r>
        <w:t>https://asia-spinalinjury.org/wp-content/uploads/newsletters/2019/spring/ISNCSCI-2019.html</w:t>
      </w:r>
    </w:p>
    <w:p>
      <w:pPr>
        <w:pStyle w:val="Heading1"/>
      </w:pPr>
      <w:r>
        <w:t>更新与维护说明</w:t>
      </w:r>
    </w:p>
    <w:p>
      <w:r>
        <w:t>本版承接原《骨科 AI 自动调用路由与病例状态管理规则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11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骨科AI自动调用路由与病例状态管理规则库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