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800"/>
      </w:pPr>
      <w:r>
        <w:rPr>
          <w:rFonts w:ascii="Arial" w:hAnsi="Arial" w:eastAsia="宋体"/>
          <w:b/>
          <w:color w:val="000000"/>
          <w:sz w:val="44"/>
        </w:rPr>
        <w:t>03 皮肤黏膜毛发甲专科检查与皮损定位形态模板库</w:t>
      </w:r>
    </w:p>
    <w:p>
      <w:pPr>
        <w:pStyle w:val="Subtitle"/>
        <w:spacing w:after="100"/>
      </w:pPr>
      <w:r>
        <w:rPr>
          <w:rFonts w:ascii="Arial" w:hAnsi="Arial" w:eastAsia="宋体"/>
          <w:b w:val="0"/>
          <w:color w:val="000000"/>
          <w:sz w:val="22"/>
        </w:rPr>
        <w:t>皮肤科AI病历书写系统 V1.0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文件编号 03    所属层级 通用功能层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编制与检索截止 2026年10月30日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用途 真实病例文书辅助拟稿 连续记录及医师质控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责任边界 本规则库不替代实际诊断 治疗 操作 知情同意及医师签名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本模块涵盖皮肤黏膜毛发甲专科检查与皮损定位形态模板库。使用时先核患者及本次住院、真实证据与执行状态，再按任务读取相关章节。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指南核验范围和测试边界均在正文列明；模板变量和虚构病例不得复制进真实病历。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spacing w:after="40"/>
        <w:ind w:left="0"/>
      </w:pPr>
      <w:hyperlink w:anchor="b0">
        <w:r>
          <w:rPr>
            <w:sz w:val="20"/>
          </w:rPr>
          <w:t>模块使用说明</w:t>
        </w:r>
      </w:hyperlink>
    </w:p>
    <w:p>
      <w:pPr>
        <w:spacing w:after="40"/>
        <w:ind w:left="0"/>
      </w:pPr>
      <w:hyperlink w:anchor="b6">
        <w:r>
          <w:rPr>
            <w:sz w:val="20"/>
          </w:rPr>
          <w:t>皮损描述必需维度</w:t>
        </w:r>
      </w:hyperlink>
    </w:p>
    <w:p>
      <w:pPr>
        <w:spacing w:after="40"/>
        <w:ind w:left="0"/>
      </w:pPr>
      <w:hyperlink w:anchor="b9">
        <w:r>
          <w:rPr>
            <w:sz w:val="20"/>
          </w:rPr>
          <w:t>部位 分布与排列</w:t>
        </w:r>
      </w:hyperlink>
    </w:p>
    <w:p>
      <w:pPr>
        <w:spacing w:after="40"/>
        <w:ind w:left="230"/>
      </w:pPr>
      <w:hyperlink w:anchor="b11">
        <w:r>
          <w:rPr>
            <w:sz w:val="20"/>
          </w:rPr>
          <w:t>头皮毛发</w:t>
        </w:r>
      </w:hyperlink>
    </w:p>
    <w:p>
      <w:pPr>
        <w:spacing w:after="40"/>
        <w:ind w:left="230"/>
      </w:pPr>
      <w:hyperlink w:anchor="b13">
        <w:r>
          <w:rPr>
            <w:sz w:val="20"/>
          </w:rPr>
          <w:t>指甲趾甲</w:t>
        </w:r>
      </w:hyperlink>
    </w:p>
    <w:p>
      <w:pPr>
        <w:spacing w:after="40"/>
        <w:ind w:left="230"/>
      </w:pPr>
      <w:hyperlink w:anchor="b15">
        <w:r>
          <w:rPr>
            <w:sz w:val="20"/>
          </w:rPr>
          <w:t>口腔及眼周黏膜</w:t>
        </w:r>
      </w:hyperlink>
    </w:p>
    <w:p>
      <w:pPr>
        <w:spacing w:after="40"/>
        <w:ind w:left="230"/>
      </w:pPr>
      <w:hyperlink w:anchor="b17">
        <w:r>
          <w:rPr>
            <w:sz w:val="20"/>
          </w:rPr>
          <w:t>生殖器皮肤黏膜</w:t>
        </w:r>
      </w:hyperlink>
    </w:p>
    <w:p>
      <w:pPr>
        <w:spacing w:after="40"/>
        <w:ind w:left="230"/>
      </w:pPr>
      <w:hyperlink w:anchor="b19">
        <w:r>
          <w:rPr>
            <w:sz w:val="20"/>
          </w:rPr>
          <w:t>掌跖及浅表淋巴结</w:t>
        </w:r>
      </w:hyperlink>
    </w:p>
    <w:p>
      <w:pPr>
        <w:spacing w:after="40"/>
        <w:ind w:left="230"/>
      </w:pPr>
      <w:hyperlink w:anchor="b21">
        <w:r>
          <w:rPr>
            <w:sz w:val="20"/>
          </w:rPr>
          <w:t>触诊和全身状态</w:t>
        </w:r>
      </w:hyperlink>
    </w:p>
    <w:p>
      <w:pPr>
        <w:spacing w:after="40"/>
        <w:ind w:left="0"/>
      </w:pPr>
      <w:hyperlink w:anchor="b23">
        <w:r>
          <w:rPr>
            <w:sz w:val="20"/>
          </w:rPr>
          <w:t>量表变量 版本与计算边界</w:t>
        </w:r>
      </w:hyperlink>
    </w:p>
    <w:p>
      <w:pPr>
        <w:spacing w:after="40"/>
        <w:ind w:left="0"/>
      </w:pPr>
      <w:hyperlink w:anchor="b26">
        <w:r>
          <w:rPr>
            <w:sz w:val="20"/>
          </w:rPr>
          <w:t>真实性限制 常见错误与质控</w:t>
        </w:r>
      </w:hyperlink>
    </w:p>
    <w:p>
      <w:pPr>
        <w:spacing w:after="40"/>
        <w:ind w:left="0"/>
      </w:pPr>
      <w:hyperlink w:anchor="b29">
        <w:r>
          <w:rPr>
            <w:sz w:val="20"/>
          </w:rPr>
          <w:t>模块协同与版本维护</w:t>
        </w:r>
      </w:hyperlink>
    </w:p>
    <w:p>
      <w:pPr>
        <w:spacing w:after="40"/>
        <w:ind w:left="0"/>
      </w:pPr>
      <w:hyperlink w:anchor="b32">
        <w:r>
          <w:rPr>
            <w:sz w:val="20"/>
          </w:rPr>
          <w:t>参考指南及核验范围</w:t>
        </w:r>
      </w:hyperlink>
    </w:p>
    <w:p>
      <w:pPr>
        <w:spacing w:after="40"/>
        <w:ind w:left="0"/>
      </w:pPr>
      <w:hyperlink w:anchor="b44">
        <w:r>
          <w:rPr>
            <w:sz w:val="20"/>
          </w:rPr>
          <w:t>虚构病例示例</w:t>
        </w:r>
      </w:hyperlink>
    </w:p>
    <w:p>
      <w:r>
        <w:br w:type="page"/>
      </w:r>
    </w:p>
    <w:p>
      <w:bookmarkStart w:id="0" w:name="b0"/>
      <w:pPr>
        <w:pStyle w:val="Heading1"/>
      </w:pPr>
      <w:r>
        <w:t>模块使用说明</w:t>
      </w:r>
      <w:bookmarkEnd w:id="0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功能定位：标准化皮肤黏膜毛发甲检查与动态皮损定位。本库服务中国医院普通皮肤病房、重症、皮肤外科、治疗室及皮肤性病临床，由具有权限的医师审核拟稿。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适用场景与自动调用：任何专科检查、照片描述、疗效或评分。必要患者资料：检查日期与来源、可视范围、病灶ID及真实测量。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事实必须绑定patient_id、encounter_id、lesion_id及适用的procedure_id/specimen_id，附事件时间、记录时间、来源及核验状态。患者自述、医师实查、普通照片可见内容、真实皮肤镜、病原学、组织病理、免疫荧光、自身抗体和临床综合判断分别保存。医学知识不是患者事实；未知不等于阴性；既往查体不等于今日查体。建议、拟定、已开医嘱、已执行、暂停、停用、恢复和取消分离。不得补造身份、皮损、触诊、评分、检查、操作参数、药量、疗效、并发症、沟通、到场查房或签名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正式文书按01和10执行：题头在text代码框外，框内仅正文；日常病程及三级查房一整段，未知事实不补齐。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运行边界：这是可供AI读取的Word规则库，未连接医院电子病历、患者数据库或后台调度。自动调用是执行协议，须实际读取相应模块；不声称跨会话保存病历。不代替现场诊断、处方、操作授权、实际知情同意或医师签名。</w:t>
      </w:r>
    </w:p>
    <w:p>
      <w:bookmarkStart w:id="6" w:name="b6"/>
      <w:pPr>
        <w:pStyle w:val="Heading1"/>
      </w:pPr>
      <w:r>
        <w:t>皮损描述必需维度</w:t>
      </w:r>
      <w:bookmarkEnd w:id="6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逐病灶采用部位和左右侧→数量及计数方法→大小和单位及是否实测→形状颜色边界→原发与继发形态→表面渗出痂鳞屑→实际触诊质地温度压痛→分布排列对称融合→黏膜毛发甲→与前次同病灶同方法比较。未检查黏膜不可写未受累，照片无标尺不得补毫米大小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04"/>
        <w:gridCol w:w="7488"/>
      </w:tblGrid>
      <w:tr>
        <w:trPr>
          <w:tblHeader/>
        </w:trPr>
        <w:tc>
          <w:tcPr>
            <w:tcW w:type="dxa" w:w="2304"/>
            <w:shd w:fill="E8EDF2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/>
                <w:color w:val="000000"/>
                <w:sz w:val="20"/>
              </w:rPr>
              <w:t>形态</w:t>
            </w:r>
          </w:p>
        </w:tc>
        <w:tc>
          <w:tcPr>
            <w:tcW w:type="dxa" w:w="7488"/>
            <w:shd w:fill="E8EDF2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/>
                <w:color w:val="000000"/>
                <w:sz w:val="20"/>
              </w:rPr>
              <w:t>记录边界</w:t>
            </w:r>
          </w:p>
        </w:tc>
      </w:tr>
      <w:tr>
        <w:tc>
          <w:tcPr>
            <w:tcW w:type="dxa" w:w="2304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斑疹</w:t>
            </w:r>
          </w:p>
        </w:tc>
        <w:tc>
          <w:tcPr>
            <w:tcW w:type="dxa" w:w="7488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平坦颜色改变，触之不隆起须实查</w:t>
            </w:r>
          </w:p>
        </w:tc>
      </w:tr>
      <w:tr>
        <w:tc>
          <w:tcPr>
            <w:tcW w:type="dxa" w:w="2304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斑片</w:t>
            </w:r>
          </w:p>
        </w:tc>
        <w:tc>
          <w:tcPr>
            <w:tcW w:type="dxa" w:w="7488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较大范围平坦颜色改变，注明实际测量不硬设阈值</w:t>
            </w:r>
          </w:p>
        </w:tc>
      </w:tr>
      <w:tr>
        <w:tc>
          <w:tcPr>
            <w:tcW w:type="dxa" w:w="2304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丘疹</w:t>
            </w:r>
          </w:p>
        </w:tc>
        <w:tc>
          <w:tcPr>
            <w:tcW w:type="dxa" w:w="7488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局限实性隆起，表面及毛囊性与否</w:t>
            </w:r>
          </w:p>
        </w:tc>
      </w:tr>
      <w:tr>
        <w:tc>
          <w:tcPr>
            <w:tcW w:type="dxa" w:w="2304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斑块</w:t>
            </w:r>
          </w:p>
        </w:tc>
        <w:tc>
          <w:tcPr>
            <w:tcW w:type="dxa" w:w="7488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较宽隆起平顶或融合病损，浸润需触诊</w:t>
            </w:r>
          </w:p>
        </w:tc>
      </w:tr>
      <w:tr>
        <w:tc>
          <w:tcPr>
            <w:tcW w:type="dxa" w:w="2304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风团</w:t>
            </w:r>
          </w:p>
        </w:tc>
        <w:tc>
          <w:tcPr>
            <w:tcW w:type="dxa" w:w="7488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一过性水肿性隆起，单处持续时长来自病史</w:t>
            </w:r>
          </w:p>
        </w:tc>
      </w:tr>
      <w:tr>
        <w:tc>
          <w:tcPr>
            <w:tcW w:type="dxa" w:w="2304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结节</w:t>
            </w:r>
          </w:p>
        </w:tc>
        <w:tc>
          <w:tcPr>
            <w:tcW w:type="dxa" w:w="7488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较深实性病损，深度和活动性不能由照片判断</w:t>
            </w:r>
          </w:p>
        </w:tc>
      </w:tr>
      <w:tr>
        <w:tc>
          <w:tcPr>
            <w:tcW w:type="dxa" w:w="2304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肿块</w:t>
            </w:r>
          </w:p>
        </w:tc>
        <w:tc>
          <w:tcPr>
            <w:tcW w:type="dxa" w:w="7488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较大实体或占位性病变，良恶性不由名称确定</w:t>
            </w:r>
          </w:p>
        </w:tc>
      </w:tr>
      <w:tr>
        <w:tc>
          <w:tcPr>
            <w:tcW w:type="dxa" w:w="2304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水疱</w:t>
            </w:r>
          </w:p>
        </w:tc>
        <w:tc>
          <w:tcPr>
            <w:tcW w:type="dxa" w:w="7488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含液腔性皮损，张力和疱液性质依实际</w:t>
            </w:r>
          </w:p>
        </w:tc>
      </w:tr>
      <w:tr>
        <w:tc>
          <w:tcPr>
            <w:tcW w:type="dxa" w:w="2304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大疱</w:t>
            </w:r>
          </w:p>
        </w:tc>
        <w:tc>
          <w:tcPr>
            <w:tcW w:type="dxa" w:w="7488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较大含液皮损，大小分界须沿本院术语一致</w:t>
            </w:r>
          </w:p>
        </w:tc>
      </w:tr>
      <w:tr>
        <w:tc>
          <w:tcPr>
            <w:tcW w:type="dxa" w:w="2304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脓疱</w:t>
            </w:r>
          </w:p>
        </w:tc>
        <w:tc>
          <w:tcPr>
            <w:tcW w:type="dxa" w:w="7488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含脓样液体皮损，无菌与感染须另论证</w:t>
            </w:r>
          </w:p>
        </w:tc>
      </w:tr>
      <w:tr>
        <w:tc>
          <w:tcPr>
            <w:tcW w:type="dxa" w:w="2304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囊肿</w:t>
            </w:r>
          </w:p>
        </w:tc>
        <w:tc>
          <w:tcPr>
            <w:tcW w:type="dxa" w:w="7488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囊腔性病损，不能仅按照片确认内容物</w:t>
            </w:r>
          </w:p>
        </w:tc>
      </w:tr>
      <w:tr>
        <w:tc>
          <w:tcPr>
            <w:tcW w:type="dxa" w:w="2304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其他原发皮损</w:t>
            </w:r>
          </w:p>
        </w:tc>
        <w:tc>
          <w:tcPr>
            <w:tcW w:type="dxa" w:w="7488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按实见结构描述，不强归不吻合类别</w:t>
            </w:r>
          </w:p>
        </w:tc>
      </w:tr>
      <w:tr>
        <w:tc>
          <w:tcPr>
            <w:tcW w:type="dxa" w:w="2304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鳞屑</w:t>
            </w:r>
          </w:p>
        </w:tc>
        <w:tc>
          <w:tcPr>
            <w:tcW w:type="dxa" w:w="7488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角质脱落，颜色厚薄附着性及范围</w:t>
            </w:r>
          </w:p>
        </w:tc>
      </w:tr>
      <w:tr>
        <w:tc>
          <w:tcPr>
            <w:tcW w:type="dxa" w:w="2304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结痂</w:t>
            </w:r>
          </w:p>
        </w:tc>
        <w:tc>
          <w:tcPr>
            <w:tcW w:type="dxa" w:w="7488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渗液血液或脓液干燥，颜色不能独立证明病原</w:t>
            </w:r>
          </w:p>
        </w:tc>
      </w:tr>
      <w:tr>
        <w:tc>
          <w:tcPr>
            <w:tcW w:type="dxa" w:w="2304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糜烂</w:t>
            </w:r>
          </w:p>
        </w:tc>
        <w:tc>
          <w:tcPr>
            <w:tcW w:type="dxa" w:w="7488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表浅表皮缺损，深度无法判断时保留限制</w:t>
            </w:r>
          </w:p>
        </w:tc>
      </w:tr>
      <w:tr>
        <w:tc>
          <w:tcPr>
            <w:tcW w:type="dxa" w:w="2304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溃疡</w:t>
            </w:r>
          </w:p>
        </w:tc>
        <w:tc>
          <w:tcPr>
            <w:tcW w:type="dxa" w:w="7488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较深组织缺损，记录底部边缘渗液且深度须实测</w:t>
            </w:r>
          </w:p>
        </w:tc>
      </w:tr>
      <w:tr>
        <w:tc>
          <w:tcPr>
            <w:tcW w:type="dxa" w:w="2304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裂隙</w:t>
            </w:r>
          </w:p>
        </w:tc>
        <w:tc>
          <w:tcPr>
            <w:tcW w:type="dxa" w:w="7488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线状皮肤断裂，出血疼痛和功能实际记录</w:t>
            </w:r>
          </w:p>
        </w:tc>
      </w:tr>
      <w:tr>
        <w:tc>
          <w:tcPr>
            <w:tcW w:type="dxa" w:w="2304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抓痕</w:t>
            </w:r>
          </w:p>
        </w:tc>
        <w:tc>
          <w:tcPr>
            <w:tcW w:type="dxa" w:w="7488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搔抓继发损害，不代替原发病因</w:t>
            </w:r>
          </w:p>
        </w:tc>
      </w:tr>
      <w:tr>
        <w:tc>
          <w:tcPr>
            <w:tcW w:type="dxa" w:w="2304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苔藓样变</w:t>
            </w:r>
          </w:p>
        </w:tc>
        <w:tc>
          <w:tcPr>
            <w:tcW w:type="dxa" w:w="7488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纹理加深增厚，触感须实查</w:t>
            </w:r>
          </w:p>
        </w:tc>
      </w:tr>
      <w:tr>
        <w:tc>
          <w:tcPr>
            <w:tcW w:type="dxa" w:w="2304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表皮剥脱</w:t>
            </w:r>
          </w:p>
        </w:tc>
        <w:tc>
          <w:tcPr>
            <w:tcW w:type="dxa" w:w="7488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脱离表皮的面积与红斑总面积分开</w:t>
            </w:r>
          </w:p>
        </w:tc>
      </w:tr>
      <w:tr>
        <w:tc>
          <w:tcPr>
            <w:tcW w:type="dxa" w:w="2304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萎缩</w:t>
            </w:r>
          </w:p>
        </w:tc>
        <w:tc>
          <w:tcPr>
            <w:tcW w:type="dxa" w:w="7488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皮肤或组织变薄，原因需另评</w:t>
            </w:r>
          </w:p>
        </w:tc>
      </w:tr>
      <w:tr>
        <w:tc>
          <w:tcPr>
            <w:tcW w:type="dxa" w:w="2304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瘢痕</w:t>
            </w:r>
          </w:p>
        </w:tc>
        <w:tc>
          <w:tcPr>
            <w:tcW w:type="dxa" w:w="7488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既往修复结果与活动病变分开</w:t>
            </w:r>
          </w:p>
        </w:tc>
      </w:tr>
      <w:tr>
        <w:tc>
          <w:tcPr>
            <w:tcW w:type="dxa" w:w="2304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色素沉着</w:t>
            </w:r>
          </w:p>
        </w:tc>
        <w:tc>
          <w:tcPr>
            <w:tcW w:type="dxa" w:w="7488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色素增加，不直接等同炎症持续</w:t>
            </w:r>
          </w:p>
        </w:tc>
      </w:tr>
      <w:tr>
        <w:tc>
          <w:tcPr>
            <w:tcW w:type="dxa" w:w="2304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色素减退</w:t>
            </w:r>
          </w:p>
        </w:tc>
        <w:tc>
          <w:tcPr>
            <w:tcW w:type="dxa" w:w="7488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颜色减淡，与完全脱色分开</w:t>
            </w:r>
          </w:p>
        </w:tc>
      </w:tr>
      <w:tr>
        <w:tc>
          <w:tcPr>
            <w:tcW w:type="dxa" w:w="2304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其他继发变化</w:t>
            </w:r>
          </w:p>
        </w:tc>
        <w:tc>
          <w:tcPr>
            <w:tcW w:type="dxa" w:w="7488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浸渍、硬化、赘生等按事实记录并鉴别</w:t>
            </w:r>
          </w:p>
        </w:tc>
      </w:tr>
    </w:tbl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</w:r>
    </w:p>
    <w:p>
      <w:bookmarkStart w:id="9" w:name="b9"/>
      <w:pPr>
        <w:pStyle w:val="Heading1"/>
      </w:pPr>
      <w:r>
        <w:t>部位 分布与排列</w:t>
      </w:r>
      <w:bookmarkEnd w:id="9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头面颈、躯干各面、上肢和下肢屈伸侧、皱褶、掌跖、指趾、会阴等采用具体区域和侧别；多灶建立L01、L02，不用“全身”掩盖未观察部位。局限、泛发、对称、不对称、屈侧、伸侧、曝光、皮脂溢出区、皮节、线状、环状、播散及融合仅实际符合使用。发病部位不一定等于当前全部部位。</w:t>
      </w:r>
    </w:p>
    <w:p>
      <w:bookmarkStart w:id="11" w:name="b11"/>
      <w:pPr>
        <w:pStyle w:val="Heading2"/>
      </w:pPr>
      <w:r>
        <w:t>头皮毛发</w:t>
      </w:r>
      <w:bookmarkEnd w:id="11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密度范围、断发鳞屑毛囊口、炎症瘢痕；拉发试验和毛发镜分别实录。未知写在框外核对或省略，不默认阴性。</w:t>
      </w:r>
    </w:p>
    <w:p>
      <w:bookmarkStart w:id="13" w:name="b13"/>
      <w:pPr>
        <w:pStyle w:val="Heading2"/>
      </w:pPr>
      <w:r>
        <w:t>指甲趾甲</w:t>
      </w:r>
      <w:bookmarkEnd w:id="13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逐甲编号，甲板甲床甲母质甲周改变；甲增厚不直接灰指甲。未知写在框外核对或省略，不默认阴性。</w:t>
      </w:r>
    </w:p>
    <w:p>
      <w:bookmarkStart w:id="15" w:name="b15"/>
      <w:pPr>
        <w:pStyle w:val="Heading2"/>
      </w:pPr>
      <w:r>
        <w:t>口腔及眼周黏膜</w:t>
      </w:r>
      <w:bookmarkEnd w:id="15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部位糜烂疼痛渗出；眼周照片不能代眼表或眼科检查。未知写在框外核对或省略，不默认阴性。</w:t>
      </w:r>
    </w:p>
    <w:p>
      <w:bookmarkStart w:id="17" w:name="b17"/>
      <w:pPr>
        <w:pStyle w:val="Heading2"/>
      </w:pPr>
      <w:r>
        <w:t>生殖器皮肤黏膜</w:t>
      </w:r>
      <w:bookmarkEnd w:id="17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只在实际检查及必要范围记录，查体同意与陪诊状态据实。未知写在框外核对或省略，不默认阴性。</w:t>
      </w:r>
    </w:p>
    <w:p>
      <w:bookmarkStart w:id="19" w:name="b19"/>
      <w:pPr>
        <w:pStyle w:val="Heading2"/>
      </w:pPr>
      <w:r>
        <w:t>掌跖及浅表淋巴结</w:t>
      </w:r>
      <w:bookmarkEnd w:id="19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掌跖皲裂角化疱；淋巴结部位大小质地活动压痛均实查。未知写在框外核对或省略，不默认阴性。</w:t>
      </w:r>
    </w:p>
    <w:p>
      <w:bookmarkStart w:id="21" w:name="b21"/>
      <w:pPr>
        <w:pStyle w:val="Heading2"/>
      </w:pPr>
      <w:r>
        <w:t>触诊和全身状态</w:t>
      </w:r>
      <w:bookmarkEnd w:id="21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温度压痛水肿灌注及体温脉搏血压按真实测量；不能从颜色推休克。未知写在框外核对或省略，不默认阴性。</w:t>
      </w:r>
    </w:p>
    <w:p>
      <w:bookmarkStart w:id="23" w:name="b23"/>
      <w:pPr>
        <w:pStyle w:val="Heading1"/>
      </w:pPr>
      <w:r>
        <w:t>量表变量 版本与计算边界</w:t>
      </w:r>
      <w:bookmarkEnd w:id="23"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3816"/>
        <w:gridCol w:w="4176"/>
      </w:tblGrid>
      <w:tr>
        <w:trPr>
          <w:tblHeader/>
        </w:trPr>
        <w:tc>
          <w:tcPr>
            <w:tcW w:type="dxa" w:w="1800"/>
            <w:shd w:fill="E8EDF2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/>
                <w:color w:val="000000"/>
                <w:sz w:val="20"/>
              </w:rPr>
              <w:t>量表</w:t>
            </w:r>
          </w:p>
        </w:tc>
        <w:tc>
          <w:tcPr>
            <w:tcW w:type="dxa" w:w="3816"/>
            <w:shd w:fill="E8EDF2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/>
                <w:color w:val="000000"/>
                <w:sz w:val="20"/>
              </w:rPr>
              <w:t>实际所需变量</w:t>
            </w:r>
          </w:p>
        </w:tc>
        <w:tc>
          <w:tcPr>
            <w:tcW w:type="dxa" w:w="4176"/>
            <w:shd w:fill="E8EDF2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/>
                <w:color w:val="000000"/>
                <w:sz w:val="20"/>
              </w:rPr>
              <w:t>限制</w:t>
            </w:r>
          </w:p>
        </w:tc>
      </w:tr>
      <w:tr>
        <w:tc>
          <w:tcPr>
            <w:tcW w:type="dxa" w:w="1800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PASI经典0至72</w:t>
            </w:r>
          </w:p>
        </w:tc>
        <w:tc>
          <w:tcPr>
            <w:tcW w:type="dxa" w:w="3816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四区头上肢躯干下肢，权重0.1/0.2/0.3/0.4；每区红斑浸润鳞屑各0至4、面积级0至6</w:t>
            </w:r>
          </w:p>
        </w:tc>
        <w:tc>
          <w:tcPr>
            <w:tcW w:type="dxa" w:w="4176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面积级0=无，1小于10%，2为10至29%，3为30至49%，4为50至69%，5为70至89%，6为90至100%；各区三征和乘面积级及权重后相加，变量缺一拒算</w:t>
            </w:r>
          </w:p>
        </w:tc>
      </w:tr>
      <w:tr>
        <w:tc>
          <w:tcPr>
            <w:tcW w:type="dxa" w:w="1800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BSA百分比</w:t>
            </w:r>
          </w:p>
        </w:tc>
        <w:tc>
          <w:tcPr>
            <w:tcW w:type="dxa" w:w="3816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实际评估范围、方法及评估者</w:t>
            </w:r>
          </w:p>
        </w:tc>
        <w:tc>
          <w:tcPr>
            <w:tcW w:type="dxa" w:w="4176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掌法需注明完整手掌含手指或掌面不同定义；约1%是估算法，非照片精确实测</w:t>
            </w:r>
          </w:p>
        </w:tc>
      </w:tr>
      <w:tr>
        <w:tc>
          <w:tcPr>
            <w:tcW w:type="dxa" w:w="1800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PGA</w:t>
            </w:r>
          </w:p>
        </w:tc>
        <w:tc>
          <w:tcPr>
            <w:tcW w:type="dxa" w:w="3816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static或dynamic、疾病及0至4或0至5版本、评估者</w:t>
            </w:r>
          </w:p>
        </w:tc>
        <w:tc>
          <w:tcPr>
            <w:tcW w:type="dxa" w:w="4176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不同PGA不能混算；未给明确锚点不自动赋值</w:t>
            </w:r>
          </w:p>
        </w:tc>
      </w:tr>
      <w:tr>
        <w:tc>
          <w:tcPr>
            <w:tcW w:type="dxa" w:w="1800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EASI经典0至72</w:t>
            </w:r>
          </w:p>
        </w:tc>
        <w:tc>
          <w:tcPr>
            <w:tcW w:type="dxa" w:w="3816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四区面积级0至6；红斑水肿丘疹抓痕苔藓样变各0至3</w:t>
            </w:r>
          </w:p>
        </w:tc>
        <w:tc>
          <w:tcPr>
            <w:tcW w:type="dxa" w:w="4176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年龄影响区权重，至少8岁0.1/0.2/0.3/0.4，8岁以下0.2/0.2/0.3/0.3；核评分表而非由照片估强度</w:t>
            </w:r>
          </w:p>
        </w:tc>
      </w:tr>
      <w:tr>
        <w:tc>
          <w:tcPr>
            <w:tcW w:type="dxa" w:w="1800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SCORAD经典0至103</w:t>
            </w:r>
          </w:p>
        </w:tc>
        <w:tc>
          <w:tcPr>
            <w:tcW w:type="dxa" w:w="3816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A范围0至100、B六项强度（红斑、水肿丘疹、渗出结痂、抓痕、苔藓样变、干燥）各0至3、C近3日瘙痒和失眠各0至10</w:t>
            </w:r>
          </w:p>
        </w:tc>
        <w:tc>
          <w:tcPr>
            <w:tcW w:type="dxa" w:w="4176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A/5＋7B/2＋C；客观SCORAD不含C，版本不可混用；缺失眠不按0</w:t>
            </w:r>
          </w:p>
        </w:tc>
      </w:tr>
      <w:tr>
        <w:tc>
          <w:tcPr>
            <w:tcW w:type="dxa" w:w="1800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DLQI原版0至30</w:t>
            </w:r>
          </w:p>
        </w:tc>
        <w:tc>
          <w:tcPr>
            <w:tcW w:type="dxa" w:w="3816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过去一周10项患者自答及缺项规则</w:t>
            </w:r>
          </w:p>
        </w:tc>
        <w:tc>
          <w:tcPr>
            <w:tcW w:type="dxa" w:w="4176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儿童须适用CDLQI等另版；症状不能代答生活影响，不猜漏项</w:t>
            </w:r>
          </w:p>
        </w:tc>
      </w:tr>
      <w:tr>
        <w:tc>
          <w:tcPr>
            <w:tcW w:type="dxa" w:w="1800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UAS7经典0至42</w:t>
            </w:r>
          </w:p>
        </w:tc>
        <w:tc>
          <w:tcPr>
            <w:tcW w:type="dxa" w:w="3816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连续7日每日风团0至3及瘙痒0至3</w:t>
            </w:r>
          </w:p>
        </w:tc>
        <w:tc>
          <w:tcPr>
            <w:tcW w:type="dxa" w:w="4176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每日和累计，记录日记区间；非连续缺日不能补零或外推7日</w:t>
            </w:r>
          </w:p>
        </w:tc>
      </w:tr>
      <w:tr>
        <w:tc>
          <w:tcPr>
            <w:tcW w:type="dxa" w:w="1800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瘙痒或疼痛NRS0至10</w:t>
            </w:r>
          </w:p>
        </w:tc>
        <w:tc>
          <w:tcPr>
            <w:tcW w:type="dxa" w:w="3816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症状种类、评估窗口、平均或最重、患者实际回答</w:t>
            </w:r>
          </w:p>
        </w:tc>
        <w:tc>
          <w:tcPr>
            <w:tcW w:type="dxa" w:w="4176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不同窗口不混比较，不能从表情或照片填分</w:t>
            </w:r>
          </w:p>
        </w:tc>
      </w:tr>
      <w:tr>
        <w:tc>
          <w:tcPr>
            <w:tcW w:type="dxa" w:w="1800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SCORTEN原始体系</w:t>
            </w:r>
          </w:p>
        </w:tc>
        <w:tc>
          <w:tcPr>
            <w:tcW w:type="dxa" w:w="3816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年龄大于40、恶性肿瘤、心率大于120、剥脱BSA大于10%、尿素大于10mmol/L、血糖大于14mmol/L、碳酸氢盐小于20mmol/L</w:t>
            </w:r>
          </w:p>
        </w:tc>
        <w:tc>
          <w:tcPr>
            <w:tcW w:type="dxa" w:w="4176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每项1分并注明评估日和版本；原始量表中的受累定义核原表，缺项不算，不把全身红斑面积当剥脱</w:t>
            </w:r>
          </w:p>
        </w:tc>
      </w:tr>
      <w:tr>
        <w:tc>
          <w:tcPr>
            <w:tcW w:type="dxa" w:w="1800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其他量表</w:t>
            </w:r>
          </w:p>
        </w:tc>
        <w:tc>
          <w:tcPr>
            <w:tcW w:type="dxa" w:w="3816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PDAI、BPDAI、SALT、VASI、NAPSI及RegiSCAR等疾病专用</w:t>
            </w:r>
          </w:p>
        </w:tc>
        <w:tc>
          <w:tcPr>
            <w:tcW w:type="dxa" w:w="4176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保存正式表版本分项及评估时间，未核原表不补阈值或预测值</w:t>
            </w:r>
          </w:p>
        </w:tc>
      </w:tr>
    </w:tbl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皮肤专科检查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病灶【L01】位于【部位侧别】，可见【实见数量形态颜色边界表面及分布】，大小【实测值单位与方法或不填写】；触诊【实际结果或省略】，黏膜毛发甲【实际检查】。相较【真实日期同病灶同来源】变化【有依据内容及比较限制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26" w:name="b26"/>
      <w:pPr>
        <w:pStyle w:val="Heading1"/>
      </w:pPr>
      <w:r>
        <w:t>真实性限制 常见错误与质控</w:t>
      </w:r>
      <w:bookmarkEnd w:id="26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逐项核对患者和本次住院、病灶部位侧别、资料可知时间、证据确定度、检查标本对应、药物和操作执行、当日复评及文书格式。关键冲突阻断净稿；非关键缺项可省略，不填写“未见异常”掩盖缺失。原文中的可能、考虑、倾向及不能排除保留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常见错误：旧照片充当今日查体；皮肤镜怀疑当病理确诊；阳性培养当所有皮损病因；抗体阳性当全部确诊；拟治疗当已完成；术后默认创面好；未实际查房即代写上级意见。上述均触发修订来源和重新审查。</w:t>
      </w:r>
    </w:p>
    <w:p>
      <w:bookmarkStart w:id="29" w:name="b29"/>
      <w:pPr>
        <w:pStyle w:val="Heading1"/>
      </w:pPr>
      <w:r>
        <w:t>模块协同与版本维护</w:t>
      </w:r>
      <w:bookmarkEnd w:id="29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统一顺序为00识别→01约束→11核对状态→02至09按任务选用→101至108按疾病选用→10终审→合格后输出。多病共存分别论证；联合模块不得重复生成相互矛盾医嘱。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版本V1.0；编制及检索截止2026年10月30日。维护人由医院指定皮肤科、病理检验、药学和病案质控负责人；至少季度复查题录及当前说明书，重要安全信息或正式更新时立即修订。修订保留版本、变更条目、依据和受影响场景回测，不静默覆盖已签病历。</w:t>
      </w:r>
    </w:p>
    <w:p>
      <w:bookmarkStart w:id="32" w:name="b32"/>
      <w:pPr>
        <w:pStyle w:val="Heading1"/>
      </w:pPr>
      <w:r>
        <w:t>参考指南及核验范围</w:t>
      </w:r>
      <w:bookmarkEnd w:id="32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以下仅记录本次实际可获得范围。正式发表、注册、题录摘要、可读全文、未核原文分开；未完整核验的条款、推荐等级、药物剂量、批准年龄及院内SOP均不补造。引用不表示本库已获临床认证；检索未见更新不等于绝对最新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R04 中国银屑病诊疗指南（2023版）。发布机构：中华医学会皮肤性病学分会银屑病专业委员会；年份或版本：2023；适用：银屑病诊断分型及治疗；核验日期：2026-10-30。核验结果：医学会分会正式发布页及原刊影印件可检索；用于框架，未逐条录入推荐等级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https:/​/​www.jsma.net.cn/​cn/​zwh/​content.aspx?committeeId=83&amp;oid=63261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R09 中国特应性皮炎诊疗指南（2020版）。发布机构：中华医学会皮肤性病学分会免疫学组等；年份或版本：2020；适用：AD临床诊断与综合评估；核验日期：2026-10-30。核验结果：原出版平台全文可见；与儿童2026共识及EuroGuiDerm分别标版本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https:/​/​cmab.yiigle.com/​uploads/​guide_​html/​中国特应性皮炎诊疗指南（2020版）.html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R14 中国荨麻疹诊疗指南（2022版）。发布机构：中华医学会皮肤性病学分会荨麻疹研究中心；年份或版本：2022；适用：成人和儿童荨麻疹；核验日期：2026-10-30。核验结果：原刊影印件及正式题录可检索；具体药物频次需核药品说明书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https:/​/​cqrc120lib.yuntsg.com/​ueditor/​jsp/​upload/​file/​20230918/​1695046887226064479.pdf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R11 寻常痤疮临床严重度分级及疗效评价中国专家共识（2025版）。发布机构：中国医师协会皮肤科医师分会痤疮学组等；年份或版本：2025；适用：寻常痤疮严重度与疗效评价；核验日期：2026-10-30。核验结果：中国医学科学院文献系统题录摘要可见；58卷8期，未核全文评分细则，禁止推填新版等级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https:/​/​www.sinomed.ac.cn/​article.do?ui=2025487166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R30 皮肤镜 皮肤病理免疫荧光 标本转运及药品说明书核验任务。发布机构：本院病理科检验科药学部与设备管理部门；年份或版本：院内有效版本待接入；适用：皮肤镜、HE/DIF分标本、药品批准范围及设备参数；核验日期：2026-10-30。核验结果：未获得本院SOP及具体药品说明书；作为待核任务，不是已发表指南，禁止据此填参数与介质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https:/​/​www.nmpa.gov.cn/​</w:t>
      </w:r>
    </w:p>
    <w:p>
      <w:bookmarkStart w:id="44" w:name="b44"/>
      <w:pPr>
        <w:pStyle w:val="Heading1"/>
      </w:pPr>
      <w:r>
        <w:t>虚构病例示例</w:t>
      </w:r>
      <w:bookmarkEnd w:id="44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以下病例完全虚构，仅供规则演示，不得导入真实病例。患者TEST03、住院E01，日期2026年10月30日，事实限定如下。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2026年10月30日 09:00 日常病程记录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患者今日右手背见3枚红色丘疹，表面少量鳞屑；未提供标尺或触诊记录，本次不填写精确大小、温度与压痛。口腔未实际检查，不能记录为无黏膜受累。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152" w:left="1224" w:header="432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b w:val="0"/>
        <w:color w:val="000000"/>
        <w:sz w:val="18"/>
      </w:rPr>
      <w:t xml:space="preserve">第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rFonts w:ascii="Arial" w:hAnsi="Arial" w:eastAsia="宋体"/>
        <w:b w:val="0"/>
        <w:color w:val="000000"/>
        <w:sz w:val="18"/>
      </w:rPr>
      <w:t xml:space="preserve"> 页  共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  <w:r>
      <w:rPr>
        <w:rFonts w:ascii="Arial" w:hAnsi="Arial" w:eastAsia="宋体"/>
        <w:b w:val="0"/>
        <w:color w:val="00000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 w:eastAsia="宋体"/>
        <w:b w:val="0"/>
        <w:color w:val="000000"/>
        <w:sz w:val="18"/>
      </w:rPr>
      <w:t>皮肤科AI病历书写系统 V1.0  |  模块 03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/>
    </w:pPr>
    <w:rPr>
      <w:rFonts w:ascii="Arial" w:hAnsi="Arial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0"/>
      <w:outlineLvl w:val="0"/>
    </w:pPr>
    <w:rPr>
      <w:rFonts w:asciiTheme="majorHAnsi" w:eastAsiaTheme="majorEastAsia" w:hAnsiTheme="majorHAnsi" w:cstheme="majorBidi" w:ascii="Arial" w:hAnsi="Arial" w:eastAsia="宋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宋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宋体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宋体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宋体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03_皮肤黏膜毛发甲专科检查与皮损定位形态模板库</dc:title>
  <dc:subject>皮肤科医学文书规则与模板</dc:subject>
  <dc:creator>皮肤科AI病历规则库</dc:creator>
  <cp:keywords>V1.0 2026-10-30 医师审核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