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/>
      </w:pPr>
      <w:r>
        <w:rPr>
          <w:rFonts w:ascii="Arial" w:hAnsi="Arial" w:eastAsia="宋体"/>
          <w:b/>
          <w:color w:val="000000"/>
          <w:sz w:val="44"/>
        </w:rPr>
        <w:t>04 皮肤科检验皮肤镜病原学皮肤病理及免疫荧光分析模板库</w:t>
      </w:r>
    </w:p>
    <w:p>
      <w:pPr>
        <w:pStyle w:val="Subtitle"/>
        <w:spacing w:after="100"/>
      </w:pPr>
      <w:r>
        <w:rPr>
          <w:rFonts w:ascii="Arial" w:hAnsi="Arial" w:eastAsia="宋体"/>
          <w:b w:val="0"/>
          <w:color w:val="000000"/>
          <w:sz w:val="22"/>
        </w:rPr>
        <w:t>皮肤科AI病历书写系统 V1.0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文件编号 04    所属层级 通用功能层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编制与检索截止 2026年10月30日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用途 真实病例文书辅助拟稿 连续记录及医师质控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责任边界 本规则库不替代实际诊断 治疗 操作 知情同意及医师签名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本模块涵盖检验皮肤镜病原学皮肤病理及免疫荧光分析模板库。使用时先核患者及本次住院、真实证据与执行状态，再按任务读取相关章节。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指南核验范围和测试边界均在正文列明；模板变量和虚构病例不得复制进真实病历。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  <w:ind w:left="0"/>
      </w:pPr>
      <w:hyperlink w:anchor="b0">
        <w:r>
          <w:rPr>
            <w:sz w:val="20"/>
          </w:rPr>
          <w:t>模块使用说明</w:t>
        </w:r>
      </w:hyperlink>
    </w:p>
    <w:p>
      <w:pPr>
        <w:spacing w:after="40"/>
        <w:ind w:left="0"/>
      </w:pPr>
      <w:hyperlink w:anchor="b6">
        <w:r>
          <w:rPr>
            <w:sz w:val="20"/>
          </w:rPr>
          <w:t>双模式执行</w:t>
        </w:r>
      </w:hyperlink>
    </w:p>
    <w:p>
      <w:pPr>
        <w:spacing w:after="40"/>
        <w:ind w:left="230"/>
      </w:pPr>
      <w:hyperlink w:anchor="b8">
        <w:r>
          <w:rPr>
            <w:sz w:val="20"/>
          </w:rPr>
          <w:t>普通临床照片与动态比较</w:t>
        </w:r>
      </w:hyperlink>
    </w:p>
    <w:p>
      <w:pPr>
        <w:spacing w:after="40"/>
        <w:ind w:left="230"/>
      </w:pPr>
      <w:hyperlink w:anchor="b11">
        <w:r>
          <w:rPr>
            <w:sz w:val="20"/>
          </w:rPr>
          <w:t>皮肤镜 色素性与非色素性</w:t>
        </w:r>
      </w:hyperlink>
    </w:p>
    <w:p>
      <w:pPr>
        <w:spacing w:after="40"/>
        <w:ind w:left="230"/>
      </w:pPr>
      <w:hyperlink w:anchor="b14">
        <w:r>
          <w:rPr>
            <w:sz w:val="20"/>
          </w:rPr>
          <w:t>毛发镜与甲镜</w:t>
        </w:r>
      </w:hyperlink>
    </w:p>
    <w:p>
      <w:pPr>
        <w:spacing w:after="40"/>
        <w:ind w:left="230"/>
      </w:pPr>
      <w:hyperlink w:anchor="b17">
        <w:r>
          <w:rPr>
            <w:sz w:val="20"/>
          </w:rPr>
          <w:t>真菌直接镜检与培养</w:t>
        </w:r>
      </w:hyperlink>
    </w:p>
    <w:p>
      <w:pPr>
        <w:spacing w:after="40"/>
        <w:ind w:left="230"/>
      </w:pPr>
      <w:hyperlink w:anchor="b20">
        <w:r>
          <w:rPr>
            <w:sz w:val="20"/>
          </w:rPr>
          <w:t>细菌培养及药敏</w:t>
        </w:r>
      </w:hyperlink>
    </w:p>
    <w:p>
      <w:pPr>
        <w:spacing w:after="40"/>
        <w:ind w:left="230"/>
      </w:pPr>
      <w:hyperlink w:anchor="b23">
        <w:r>
          <w:rPr>
            <w:sz w:val="20"/>
          </w:rPr>
          <w:t>病毒与HSV VZV检测</w:t>
        </w:r>
      </w:hyperlink>
    </w:p>
    <w:p>
      <w:pPr>
        <w:spacing w:after="40"/>
        <w:ind w:left="230"/>
      </w:pPr>
      <w:hyperlink w:anchor="b26">
        <w:r>
          <w:rPr>
            <w:sz w:val="20"/>
          </w:rPr>
          <w:t>寄生虫检查</w:t>
        </w:r>
      </w:hyperlink>
    </w:p>
    <w:p>
      <w:pPr>
        <w:spacing w:after="40"/>
        <w:ind w:left="230"/>
      </w:pPr>
      <w:hyperlink w:anchor="b29">
        <w:r>
          <w:rPr>
            <w:sz w:val="20"/>
          </w:rPr>
          <w:t>性传播感染检测</w:t>
        </w:r>
      </w:hyperlink>
    </w:p>
    <w:p>
      <w:pPr>
        <w:spacing w:after="40"/>
        <w:ind w:left="230"/>
      </w:pPr>
      <w:hyperlink w:anchor="b32">
        <w:r>
          <w:rPr>
            <w:sz w:val="20"/>
          </w:rPr>
          <w:t>HE 常规组织病理与特殊染色</w:t>
        </w:r>
      </w:hyperlink>
    </w:p>
    <w:p>
      <w:pPr>
        <w:spacing w:after="40"/>
        <w:ind w:left="230"/>
      </w:pPr>
      <w:hyperlink w:anchor="b35">
        <w:r>
          <w:rPr>
            <w:sz w:val="20"/>
          </w:rPr>
          <w:t>DIF直接免疫荧光</w:t>
        </w:r>
      </w:hyperlink>
    </w:p>
    <w:p>
      <w:pPr>
        <w:spacing w:after="40"/>
        <w:ind w:left="230"/>
      </w:pPr>
      <w:hyperlink w:anchor="b38">
        <w:r>
          <w:rPr>
            <w:sz w:val="20"/>
          </w:rPr>
          <w:t>IIF与自身抗体</w:t>
        </w:r>
      </w:hyperlink>
    </w:p>
    <w:p>
      <w:pPr>
        <w:spacing w:after="40"/>
        <w:ind w:left="230"/>
      </w:pPr>
      <w:hyperlink w:anchor="b41">
        <w:r>
          <w:rPr>
            <w:sz w:val="20"/>
          </w:rPr>
          <w:t>肿瘤与附属器病理免疫组化</w:t>
        </w:r>
      </w:hyperlink>
    </w:p>
    <w:p>
      <w:pPr>
        <w:spacing w:after="40"/>
        <w:ind w:left="230"/>
      </w:pPr>
      <w:hyperlink w:anchor="b44">
        <w:r>
          <w:rPr>
            <w:sz w:val="20"/>
          </w:rPr>
          <w:t>血管炎病理</w:t>
        </w:r>
      </w:hyperlink>
    </w:p>
    <w:p>
      <w:pPr>
        <w:spacing w:after="40"/>
        <w:ind w:left="230"/>
      </w:pPr>
      <w:hyperlink w:anchor="b47">
        <w:r>
          <w:rPr>
            <w:sz w:val="20"/>
          </w:rPr>
          <w:t>血常规 肝肾及感染指标</w:t>
        </w:r>
      </w:hyperlink>
    </w:p>
    <w:p>
      <w:pPr>
        <w:spacing w:after="40"/>
        <w:ind w:left="230"/>
      </w:pPr>
      <w:hyperlink w:anchor="b50">
        <w:r>
          <w:rPr>
            <w:sz w:val="20"/>
          </w:rPr>
          <w:t>ANA 自身抗体 补体与系统评估</w:t>
        </w:r>
      </w:hyperlink>
    </w:p>
    <w:p>
      <w:pPr>
        <w:spacing w:after="40"/>
        <w:ind w:left="230"/>
      </w:pPr>
      <w:hyperlink w:anchor="b53">
        <w:r>
          <w:rPr>
            <w:sz w:val="20"/>
          </w:rPr>
          <w:t>IgE与其他过敏评估</w:t>
        </w:r>
      </w:hyperlink>
    </w:p>
    <w:p>
      <w:pPr>
        <w:spacing w:after="40"/>
        <w:ind w:left="230"/>
      </w:pPr>
      <w:hyperlink w:anchor="b56">
        <w:r>
          <w:rPr>
            <w:sz w:val="20"/>
          </w:rPr>
          <w:t>斑贴试验与药物过敏评估</w:t>
        </w:r>
      </w:hyperlink>
    </w:p>
    <w:p>
      <w:pPr>
        <w:spacing w:after="40"/>
        <w:ind w:left="0"/>
      </w:pPr>
      <w:hyperlink w:anchor="b59">
        <w:r>
          <w:rPr>
            <w:sz w:val="20"/>
          </w:rPr>
          <w:t>临床病理对应与不一致</w:t>
        </w:r>
      </w:hyperlink>
    </w:p>
    <w:p>
      <w:pPr>
        <w:spacing w:after="40"/>
        <w:ind w:left="0"/>
      </w:pPr>
      <w:hyperlink w:anchor="b61">
        <w:r>
          <w:rPr>
            <w:sz w:val="20"/>
          </w:rPr>
          <w:t>真实性限制 常见错误与质控</w:t>
        </w:r>
      </w:hyperlink>
    </w:p>
    <w:p>
      <w:pPr>
        <w:spacing w:after="40"/>
        <w:ind w:left="0"/>
      </w:pPr>
      <w:hyperlink w:anchor="b64">
        <w:r>
          <w:rPr>
            <w:sz w:val="20"/>
          </w:rPr>
          <w:t>模块协同与版本维护</w:t>
        </w:r>
      </w:hyperlink>
    </w:p>
    <w:p>
      <w:pPr>
        <w:spacing w:after="40"/>
        <w:ind w:left="0"/>
      </w:pPr>
      <w:hyperlink w:anchor="b67">
        <w:r>
          <w:rPr>
            <w:sz w:val="20"/>
          </w:rPr>
          <w:t>参考指南及核验范围</w:t>
        </w:r>
      </w:hyperlink>
    </w:p>
    <w:p>
      <w:pPr>
        <w:spacing w:after="40"/>
        <w:ind w:left="0"/>
      </w:pPr>
      <w:hyperlink w:anchor="b79">
        <w:r>
          <w:rPr>
            <w:sz w:val="20"/>
          </w:rPr>
          <w:t>虚构病例示例</w:t>
        </w:r>
      </w:hyperlink>
    </w:p>
    <w:p>
      <w:r>
        <w:br w:type="page"/>
      </w:r>
    </w:p>
    <w:p>
      <w:bookmarkStart w:id="0" w:name="b0"/>
      <w:pPr>
        <w:pStyle w:val="Heading1"/>
      </w:pPr>
      <w:r>
        <w:t>模块使用说明</w:t>
      </w:r>
      <w:bookmarkEnd w:id="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功能定位：报告原文与临床分析双模式及标本证据管理。本库服务中国医院普通皮肤病房、重症、皮肤外科、治疗室及皮肤性病临床，由具有权限的医师审核拟稿。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适用场景与自动调用：检验镜图病理DIF病原学回报与动态比较。必要患者资料：患者、病灶、标本、采样检查及回报时间、原报告和方法。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事实必须绑定patient_id、encounter_id、lesion_id及适用的procedure_id/specimen_id，附事件时间、记录时间、来源及核验状态。患者自述、医师实查、普通照片可见内容、真实皮肤镜、病原学、组织病理、免疫荧光、自身抗体和临床综合判断分别保存。医学知识不是患者事实；未知不等于阴性；既往查体不等于今日查体。建议、拟定、已开医嘱、已执行、暂停、停用、恢复和取消分离。不得补造身份、皮损、触诊、评分、检查、操作参数、药量、疗效、并发症、沟通、到场查房或签名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正式文书按01和10执行：题头在text代码框外，框内仅正文；日常病程及三级查房一整段，未知事实不补齐。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运行边界：这是可供AI读取的Word规则库，未连接医院电子病历、患者数据库或后台调度。自动调用是执行协议，须实际读取相应模块；不声称跨会话保存病历。不代替现场诊断、处方、操作授权、实际知情同意或医师签名。</w:t>
      </w:r>
    </w:p>
    <w:p>
      <w:bookmarkStart w:id="6" w:name="b6"/>
      <w:pPr>
        <w:pStyle w:val="Heading1"/>
      </w:pPr>
      <w:r>
        <w:t>双模式执行</w:t>
      </w:r>
      <w:bookmarkEnd w:id="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原始报告整理：保持报告名称、检查采样和回报日期、部位、标本号、方法、数值单位参考范围、所见及诊断意见，用户要求原文则不改写。OCR不清处在框外注明待核，不能把猜测填进原文。临床分析：另起独立段落归纳真实异常→证据适用及质量→与形态部位病程关系→支持反对与缺口→对当前决策的影响。分析不能混入原报告正文。</w:t>
      </w:r>
    </w:p>
    <w:p>
      <w:bookmarkStart w:id="8" w:name="b8"/>
      <w:pPr>
        <w:pStyle w:val="Heading2"/>
      </w:pPr>
      <w:r>
        <w:t>普通临床照片与动态比较</w:t>
      </w:r>
      <w:bookmarkEnd w:id="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整理必需：照片拍摄日期、患者、部位、左右、标尺、光照、距离和覆盖范围；本次仅表面可见。分析边界：不写触诊温度压痛、精确BSA或深度；色温曝光差异不能等同改善。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普通临床照片与动态比较分析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【检查日期及样本部位编号】结果为【忠实结果】，结合【当日或明确日期临床表现】对【问题】提示【支持与限制】，目前诊断维持或修正为【确定度】，进一步【医师拟定复核或监测】。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1" w:name="b11"/>
      <w:pPr>
        <w:pStyle w:val="Heading2"/>
      </w:pPr>
      <w:r>
        <w:t>皮肤镜 色素性与非色素性</w:t>
      </w:r>
      <w:bookmarkEnd w:id="1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整理必需：确认真正设备图像、偏振与接触方式、检查日期病灶；记录色素网点球条纹蓝白结构、血管或角化等实见。分析边界：镜下可疑恶性为风险判断，不升级组织确诊；普通照不能称镜图。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皮肤镜 色素性与非色素性分析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【检查日期及样本部位编号】结果为【忠实结果】，结合【当日或明确日期临床表现】对【问题】提示【支持与限制】，目前诊断维持或修正为【确定度】，进一步【医师拟定复核或监测】。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4" w:name="b14"/>
      <w:pPr>
        <w:pStyle w:val="Heading2"/>
      </w:pPr>
      <w:r>
        <w:t>毛发镜与甲镜</w:t>
      </w:r>
      <w:bookmarkEnd w:id="1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整理必需：部位放大方式，毛干粗细断发毛囊口周围炎症；甲板甲襞与色素结构。分析边界：不凭单镜图确定脱发全部病因或色素带良恶性。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毛发镜与甲镜分析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【检查日期及样本部位编号】结果为【忠实结果】，结合【当日或明确日期临床表现】对【问题】提示【支持与限制】，目前诊断维持或修正为【确定度】，进一步【医师拟定复核或监测】。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17" w:name="b17"/>
      <w:pPr>
        <w:pStyle w:val="Heading2"/>
      </w:pPr>
      <w:r>
        <w:t>真菌直接镜检与培养</w:t>
      </w:r>
      <w:bookmarkEnd w:id="1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整理必需：取材皮屑毛发甲，方法、部位用药、菌丝孢子实见及培养鉴定。分析边界：镜检阴性不绝对排除；培养阳性辨感染定植污染，不把菌名套其他部位。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真菌直接镜检与培养分析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【检查日期及样本部位编号】结果为【忠实结果】，结合【当日或明确日期临床表现】对【问题】提示【支持与限制】，目前诊断维持或修正为【确定度】，进一步【医师拟定复核或监测】。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0" w:name="b20"/>
      <w:pPr>
        <w:pStyle w:val="Heading2"/>
      </w:pPr>
      <w:r>
        <w:t>细菌培养及药敏</w:t>
      </w:r>
      <w:bookmarkEnd w:id="2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整理必需：脓液组织血或拭子、采样前药、菌种和药敏方法原单位。分析边界：药敏敏感不等患者已接受此药；表浅拭子不代表深部感染。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细菌培养及药敏分析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【检查日期及样本部位编号】结果为【忠实结果】，结合【当日或明确日期临床表现】对【问题】提示【支持与限制】，目前诊断维持或修正为【确定度】，进一步【医师拟定复核或监测】。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3" w:name="b23"/>
      <w:pPr>
        <w:pStyle w:val="Heading2"/>
      </w:pPr>
      <w:r>
        <w:t>病毒与HSV VZV检测</w:t>
      </w:r>
      <w:bookmarkEnd w:id="2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整理必需：局部疱液刮取或其他样本及PCR等方法、窗口与免疫状态。分析边界：IgG阳性不等当前局部感染；HSV血清不判新近性接触。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病毒与HSV VZV检测分析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【检查日期及样本部位编号】结果为【忠实结果】，结合【当日或明确日期临床表现】对【问题】提示【支持与限制】，目前诊断维持或修正为【确定度】，进一步【医师拟定复核或监测】。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6" w:name="b26"/>
      <w:pPr>
        <w:pStyle w:val="Heading2"/>
      </w:pPr>
      <w:r>
        <w:t>寄生虫检查</w:t>
      </w:r>
      <w:bookmarkEnd w:id="2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整理必需：刮取或镜图部位、虫体虫卵排泄物实见。分析边界：未检出不绝对排疥疮，不编共同接触者均患病。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寄生虫检查分析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【检查日期及样本部位编号】结果为【忠实结果】，结合【当日或明确日期临床表现】对【问题】提示【支持与限制】，目前诊断维持或修正为【确定度】，进一步【医师拟定复核或监测】。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29" w:name="b29"/>
      <w:pPr>
        <w:pStyle w:val="Heading2"/>
      </w:pPr>
      <w:r>
        <w:t>性传播感染检测</w:t>
      </w:r>
      <w:bookmarkEnd w:id="2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整理必需：标本部位、螺旋体与非螺旋体滴度、核酸培养等方法。分析边界：单一阳性不补感染时间、传播者或分期，联合108。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性传播感染检测分析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【检查日期及样本部位编号】结果为【忠实结果】，结合【当日或明确日期临床表现】对【问题】提示【支持与限制】，目前诊断维持或修正为【确定度】，进一步【医师拟定复核或监测】。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2" w:name="b32"/>
      <w:pPr>
        <w:pStyle w:val="Heading2"/>
      </w:pPr>
      <w:r>
        <w:t>HE 常规组织病理与特殊染色</w:t>
      </w:r>
      <w:bookmarkEnd w:id="32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整理必需：病灶、标本、固定、取材层次，初步正式补充版本及特殊染色方法。分析边界：特殊染色阴性不能概括排除所有感染；保留倾向和不能排除。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HE 常规组织病理与特殊染色分析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【检查日期及样本部位编号】结果为【忠实结果】，结合【当日或明确日期临床表现】对【问题】提示【支持与限制】，目前诊断维持或修正为【确定度】，进一步【医师拟定复核或监测】。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5" w:name="b35"/>
      <w:pPr>
        <w:pStyle w:val="Heading2"/>
      </w:pPr>
      <w:r>
        <w:t>DIF直接免疫荧光</w:t>
      </w:r>
      <w:bookmarkEnd w:id="35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整理必需：适宜病损周围等取材策略依具体病种、独立标本与转运介质；免疫反应物沉积层次部位形态。分析边界：不能将常规甲醛HE标本自动当有效DIF；介质及送达时限依病理SOP，不默认全为同一种。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DIF直接免疫荧光分析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【检查日期及样本部位编号】结果为【忠实结果】，结合【当日或明确日期临床表现】对【问题】提示【支持与限制】，目前诊断维持或修正为【确定度】，进一步【医师拟定复核或监测】。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38" w:name="b38"/>
      <w:pPr>
        <w:pStyle w:val="Heading2"/>
      </w:pPr>
      <w:r>
        <w:t>IIF与自身抗体</w:t>
      </w:r>
      <w:bookmarkEnd w:id="38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整理必需：血清、底物盐裂或其他方法、滴度抗原单位参考范围。分析边界：IIF不同于皮肤DIF；BP180/BP230、Dsg抗体或ANA单阳不能替临床整合。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IIF与自身抗体分析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【检查日期及样本部位编号】结果为【忠实结果】，结合【当日或明确日期临床表现】对【问题】提示【支持与限制】，目前诊断维持或修正为【确定度】，进一步【医师拟定复核或监测】。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1" w:name="b41"/>
      <w:pPr>
        <w:pStyle w:val="Heading2"/>
      </w:pPr>
      <w:r>
        <w:t>肿瘤与附属器病理免疫组化</w:t>
      </w:r>
      <w:bookmarkEnd w:id="4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整理必需：位置方向、组织学型分化、厚度侵袭、溃疡、脉管神经及切缘原值。分析边界：Breslow、切缘、TNM、毛囊病理或免疫表型缺项不自动填阴性。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肿瘤与附属器病理免疫组化分析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【检查日期及样本部位编号】结果为【忠实结果】，结合【当日或明确日期临床表现】对【问题】提示【支持与限制】，目前诊断维持或修正为【确定度】，进一步【医师拟定复核或监测】。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4" w:name="b44"/>
      <w:pPr>
        <w:pStyle w:val="Heading2"/>
      </w:pPr>
      <w:r>
        <w:t>血管炎病理</w:t>
      </w:r>
      <w:bookmarkEnd w:id="4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整理必需：新鲜病损取材时间、HE与必要DIF的独立部位。分析边界：白细胞碎裂性模式不自动推出某系统血管炎。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血管炎病理分析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【检查日期及样本部位编号】结果为【忠实结果】，结合【当日或明确日期临床表现】对【问题】提示【支持与限制】，目前诊断维持或修正为【确定度】，进一步【医师拟定复核或监测】。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47" w:name="b47"/>
      <w:pPr>
        <w:pStyle w:val="Heading2"/>
      </w:pPr>
      <w:r>
        <w:t>血常规 肝肾及感染指标</w:t>
      </w:r>
      <w:bookmarkEnd w:id="4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整理必需：采样日期数值单位参考值、基线变化、用药与病程。分析边界：嗜酸升高不单独DRESS；炎症指标单升不确诊感染；肝肾异常需鉴别。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血常规 肝肾及感染指标分析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【检查日期及样本部位编号】结果为【忠实结果】，结合【当日或明确日期临床表现】对【问题】提示【支持与限制】，目前诊断维持或修正为【确定度】，进一步【医师拟定复核或监测】。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0" w:name="b50"/>
      <w:pPr>
        <w:pStyle w:val="Heading2"/>
      </w:pPr>
      <w:r>
        <w:t>ANA 自身抗体 补体与系统评估</w:t>
      </w:r>
      <w:bookmarkEnd w:id="50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整理必需：检测方法滴度、对应症状和器官证据。分析边界：分类标准不机械等诊断，不从ANA阳性写SLE。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ANA 自身抗体 补体与系统评估分析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【检查日期及样本部位编号】结果为【忠实结果】，结合【当日或明确日期临床表现】对【问题】提示【支持与限制】，目前诊断维持或修正为【确定度】，进一步【医师拟定复核或监测】。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3" w:name="b53"/>
      <w:pPr>
        <w:pStyle w:val="Heading2"/>
      </w:pPr>
      <w:r>
        <w:t>IgE与其他过敏评估</w:t>
      </w:r>
      <w:bookmarkEnd w:id="53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整理必需：实际检测方法、总或特异IgE、暴露及临床相关性。分析边界：致敏不等致病，不以食物阳性自动禁食或确诊AD。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IgE与其他过敏评估分析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【检查日期及样本部位编号】结果为【忠实结果】，结合【当日或明确日期临床表现】对【问题】提示【支持与限制】，目前诊断维持或修正为【确定度】，进一步【医师拟定复核或监测】。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6" w:name="b56"/>
      <w:pPr>
        <w:pStyle w:val="Heading2"/>
      </w:pPr>
      <w:r>
        <w:t>斑贴试验与药物过敏评估</w:t>
      </w:r>
      <w:bookmarkEnd w:id="56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整理必需：实际试剂浓度批次、贴敷部位时间、各次判读、近期治疗与反应。分析边界：仅适应证下安全实施；重症药疹不自动再激发，检测阳性须临床相关性。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【文书日期时间】 斑贴试验与药物过敏评估分析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【检查日期及样本部位编号】结果为【忠实结果】，结合【当日或明确日期临床表现】对【问题】提示【支持与限制】，目前诊断维持或修正为【确定度】，进一步【医师拟定复核或监测】。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p>
      <w:bookmarkStart w:id="59" w:name="b59"/>
      <w:pPr>
        <w:pStyle w:val="Heading1"/>
      </w:pPr>
      <w:r>
        <w:t>临床病理对应与不一致</w:t>
      </w:r>
      <w:bookmarkEnd w:id="5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按L01→S01→HE01/DIF01→报告版本→诊断版本绑定。病理不符先查患者、取材位置、代表性、取材前治疗、标本质量和报告确定度，必要讨论复阅或复取材。病理回报晚于目标文书时点仅用于后续诊断，不回填此前已知。</w:t>
      </w:r>
    </w:p>
    <w:p>
      <w:bookmarkStart w:id="61" w:name="b61"/>
      <w:pPr>
        <w:pStyle w:val="Heading1"/>
      </w:pPr>
      <w:r>
        <w:t>真实性限制 常见错误与质控</w:t>
      </w:r>
      <w:bookmarkEnd w:id="61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逐项核对患者和本次住院、病灶部位侧别、资料可知时间、证据确定度、检查标本对应、药物和操作执行、当日复评及文书格式。关键冲突阻断净稿；非关键缺项可省略，不填写“未见异常”掩盖缺失。原文中的可能、考虑、倾向及不能排除保留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常见错误：旧照片充当今日查体；皮肤镜怀疑当病理确诊；阳性培养当所有皮损病因；抗体阳性当全部确诊；拟治疗当已完成；术后默认创面好；未实际查房即代写上级意见。上述均触发修订来源和重新审查。</w:t>
      </w:r>
    </w:p>
    <w:p>
      <w:bookmarkStart w:id="64" w:name="b64"/>
      <w:pPr>
        <w:pStyle w:val="Heading1"/>
      </w:pPr>
      <w:r>
        <w:t>模块协同与版本维护</w:t>
      </w:r>
      <w:bookmarkEnd w:id="64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统一顺序为00识别→01约束→11核对状态→02至09按任务选用→101至108按疾病选用→10终审→合格后输出。多病共存分别论证；联合模块不得重复生成相互矛盾医嘱。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版本V1.0；编制及检索截止2026年10月30日。维护人由医院指定皮肤科、病理检验、药学和病案质控负责人；至少季度复查题录及当前说明书，重要安全信息或正式更新时立即修订。修订保留版本、变更条目、依据和受影响场景回测，不静默覆盖已签病历。</w:t>
      </w:r>
    </w:p>
    <w:p>
      <w:bookmarkStart w:id="67" w:name="b67"/>
      <w:pPr>
        <w:pStyle w:val="Heading1"/>
      </w:pPr>
      <w:r>
        <w:t>参考指南及核验范围</w:t>
      </w:r>
      <w:bookmarkEnd w:id="67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仅记录本次实际可获得范围。正式发表、注册、题录摘要、可读全文、未核原文分开；未完整核验的条款、推荐等级、药物剂量、批准年龄及院内SOP均不补造。引用不表示本库已获临床认证；检索未见更新不等于绝对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R05 中国天疱疮诊疗指南（2024版）。发布机构：中国医师协会皮肤科医师分会等五个学术组织；年份或版本：2024；适用：天疱疮临床病理及免疫整合；核验日期：2026-10-30。核验结果：原刊影印件及期刊目录核对；中华皮肤科杂志57卷10期873至886页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https:/​/​doi.org/​10.35541/​cjd.20240222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R06 大疱性类天疱疮诊疗专家共识（2025版）。发布机构：中国医师协会皮肤科医师分会、中华医学会皮肤性病学分会治疗学组等；年份或版本：2025；适用：老年及其他BP患者；核验日期：2026-10-30。核验结果：正式题录及摘要可检索；本链接为二级指南题录索引，全文未完整核读，不作为具体药量推荐证据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https:/​/​guide.medlive.cn/​guideline/​35618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R20 梅毒诊断 WS 273—2018。发布机构：国家卫生健康委员会；年份或版本：2018；适用：梅毒临床实验室及分期；核验日期：2026-10-30。核验结果：官方标准正文及施行信息可见；适用状态由医疗机构上线前再次核对。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https:/​/​www.nhc.gov.cn/​wjw/​s9491/​201803/​5103a5425f9e47d29b91de38434b7f74.shtml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R26 中国甲真菌病诊疗指南（2021年版）。发布机构：甲真菌病指南专家工作组；年份或版本：版本2021 刊发2022；适用：甲真菌病分型诊断治疗；核验日期：2026-10-30。核验结果：2021版本正式题录可核；已另核到原期刊2026年版正式题录摘要R33，旧版不标最新。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https:/​/​cnki.istiz.org.cn/​kcms/​detail/​detail.aspx?dbcode=CJFQ&amp;dbname=CJFD2022&amp;filename=ZJXZ202201001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R30 皮肤镜 皮肤病理免疫荧光 标本转运及药品说明书核验任务。发布机构：本院病理科检验科药学部与设备管理部门；年份或版本：院内有效版本待接入；适用：皮肤镜、HE/DIF分标本、药品批准范围及设备参数；核验日期：2026-10-30。核验结果：未获得本院SOP及具体药品说明书；作为待核任务，不是已发表指南，禁止据此填参数与介质。</w:t>
      </w:r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https:/​/​www.nmpa.gov.cn/​</w:t>
      </w:r>
    </w:p>
    <w:p>
      <w:bookmarkStart w:id="79" w:name="b79"/>
      <w:pPr>
        <w:pStyle w:val="Heading1"/>
      </w:pPr>
      <w:r>
        <w:t>虚构病例示例</w:t>
      </w:r>
      <w:bookmarkEnd w:id="79"/>
    </w:p>
    <w:p>
      <w:pPr>
        <w:spacing w:after="100"/>
      </w:pPr>
      <w:r>
        <w:rPr>
          <w:rFonts w:ascii="Arial" w:hAnsi="Arial" w:eastAsia="宋体"/>
          <w:b w:val="0"/>
          <w:color w:val="000000"/>
          <w:sz w:val="22"/>
        </w:rPr>
        <w:t>以下病例完全虚构，仅供规则演示，不得导入真实病例。患者TEST04、住院E01，日期2026年10月30日，事实限定如下。</w:t>
      </w:r>
    </w:p>
    <w:p>
      <w:pPr>
        <w:keepNext/>
        <w:spacing w:after="100"/>
      </w:pPr>
      <w:r>
        <w:rPr>
          <w:rFonts w:ascii="Arial" w:hAnsi="Arial" w:eastAsia="宋体"/>
          <w:b w:val="0"/>
          <w:color w:val="000000"/>
          <w:sz w:val="22"/>
        </w:rPr>
        <w:t>2026年10月30日 09:00 日常病程记录</w:t>
      </w:r>
    </w:p>
    <w:p>
      <w:pPr>
        <w:keepNext/>
        <w:spacing w:after="0"/>
      </w:pPr>
      <w:r>
        <w:rPr>
          <w:rFonts w:ascii="Arial" w:hAnsi="Arial" w:eastAsia="宋体"/>
          <w:b w:val="0"/>
          <w:color w:val="000000"/>
          <w:sz w:val="22"/>
        </w:rPr>
        <w:t>```text</w:t>
      </w:r>
    </w:p>
    <w:p>
      <w:pPr>
        <w:keepNext/>
        <w:spacing w:after="0"/>
        <w:ind w:left="173" w:right="173"/>
      </w:pPr>
      <w:r>
        <w:rPr>
          <w:rFonts w:ascii="Arial" w:hAnsi="Arial" w:eastAsia="宋体"/>
          <w:b w:val="0"/>
          <w:color w:val="000000"/>
          <w:sz w:val="22"/>
        </w:rPr>
        <w:t>左前臂标本S01的HE提示表皮下水疱，DIF尚未回报；结合瘙痒性紧张性水疱，临床考虑自身免疫性表皮下大疱病，需整合相应免疫检查，现不能仅据该HE确诊大疱性类天疱疮。</w:t>
      </w:r>
    </w:p>
    <w:p>
      <w:pPr>
        <w:spacing w:after="140"/>
      </w:pPr>
      <w:r>
        <w:rPr>
          <w:rFonts w:ascii="Arial" w:hAnsi="Arial" w:eastAsia="宋体"/>
          <w:b w:val="0"/>
          <w:color w:val="000000"/>
          <w:sz w:val="22"/>
        </w:rPr>
        <w:t>```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  共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宋体"/>
        <w:b w:val="0"/>
        <w:color w:val="000000"/>
        <w:sz w:val="18"/>
      </w:rPr>
      <w:t>皮肤科AI病历书写系统 V1.0  |  模块 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/>
    </w:pPr>
    <w:rPr>
      <w:rFonts w:ascii="Arial" w:hAnsi="Arial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宋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04_皮肤科检验皮肤镜病原学皮肤病理及免疫荧光分析模板库</dc:title>
  <dc:subject>皮肤科医学文书规则与模板</dc:subject>
  <dc:creator>皮肤科AI病历规则库</dc:creator>
  <cp:keywords>V1.0 2026-10-30 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