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0"/>
      </w:pPr>
      <w:r>
        <w:rPr>
          <w:rFonts w:ascii="Arial" w:hAnsi="Arial" w:eastAsia="宋体"/>
          <w:b/>
          <w:color w:val="000000"/>
          <w:sz w:val="44"/>
        </w:rPr>
        <w:t>05 皮肤活检冷冻光疗激光及皮肤外科围操作期文书模板库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皮肤科AI病历书写系统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文件编号 05    所属层级 通用功能层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用途 真实病例文书辅助拟稿 连续记录及医师质控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责任边界 本规则库不替代实际诊断 治疗 操作 知情同意及医师签名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本模块涵盖皮肤活检冷冻光疗激光及皮肤外科围操作期文书模板库。使用时先核患者及本次住院、真实证据与执行状态，再按任务读取相关章节。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指南核验范围和测试边界均在正文列明；模板变量和虚构病例不得复制进真实病历。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b0">
        <w:r>
          <w:rPr>
            <w:sz w:val="20"/>
          </w:rPr>
          <w:t>模块使用说明</w:t>
        </w:r>
      </w:hyperlink>
    </w:p>
    <w:p>
      <w:pPr>
        <w:spacing w:after="40"/>
        <w:ind w:left="0"/>
      </w:pPr>
      <w:hyperlink w:anchor="b6">
        <w:r>
          <w:rPr>
            <w:sz w:val="20"/>
          </w:rPr>
          <w:t>操作前与实施状态</w:t>
        </w:r>
      </w:hyperlink>
    </w:p>
    <w:p>
      <w:pPr>
        <w:spacing w:after="40"/>
        <w:ind w:left="230"/>
      </w:pPr>
      <w:hyperlink w:anchor="b8">
        <w:r>
          <w:rPr>
            <w:sz w:val="20"/>
          </w:rPr>
          <w:t>皮肤穿刺活检</w:t>
        </w:r>
      </w:hyperlink>
    </w:p>
    <w:p>
      <w:pPr>
        <w:spacing w:after="40"/>
        <w:ind w:left="230"/>
      </w:pPr>
      <w:hyperlink w:anchor="b14">
        <w:r>
          <w:rPr>
            <w:sz w:val="20"/>
          </w:rPr>
          <w:t>皮肤切取活检</w:t>
        </w:r>
      </w:hyperlink>
    </w:p>
    <w:p>
      <w:pPr>
        <w:spacing w:after="40"/>
        <w:ind w:left="230"/>
      </w:pPr>
      <w:hyperlink w:anchor="b20">
        <w:r>
          <w:rPr>
            <w:sz w:val="20"/>
          </w:rPr>
          <w:t>皮肤切除活检</w:t>
        </w:r>
      </w:hyperlink>
    </w:p>
    <w:p>
      <w:pPr>
        <w:spacing w:after="40"/>
        <w:ind w:left="230"/>
      </w:pPr>
      <w:hyperlink w:anchor="b26">
        <w:r>
          <w:rPr>
            <w:sz w:val="20"/>
          </w:rPr>
          <w:t>病变皮肤活检</w:t>
        </w:r>
      </w:hyperlink>
    </w:p>
    <w:p>
      <w:pPr>
        <w:spacing w:after="40"/>
        <w:ind w:left="230"/>
      </w:pPr>
      <w:hyperlink w:anchor="b32">
        <w:r>
          <w:rPr>
            <w:sz w:val="20"/>
          </w:rPr>
          <w:t>毛发和甲相关取材</w:t>
        </w:r>
      </w:hyperlink>
    </w:p>
    <w:p>
      <w:pPr>
        <w:spacing w:after="40"/>
        <w:ind w:left="230"/>
      </w:pPr>
      <w:hyperlink w:anchor="b38">
        <w:r>
          <w:rPr>
            <w:sz w:val="20"/>
          </w:rPr>
          <w:t>免疫荧光取材</w:t>
        </w:r>
      </w:hyperlink>
    </w:p>
    <w:p>
      <w:pPr>
        <w:spacing w:after="40"/>
        <w:ind w:left="230"/>
      </w:pPr>
      <w:hyperlink w:anchor="b44">
        <w:r>
          <w:rPr>
            <w:sz w:val="20"/>
          </w:rPr>
          <w:t>拭子刮取及其他病原取材</w:t>
        </w:r>
      </w:hyperlink>
    </w:p>
    <w:p>
      <w:pPr>
        <w:spacing w:after="40"/>
        <w:ind w:left="230"/>
      </w:pPr>
      <w:hyperlink w:anchor="b50">
        <w:r>
          <w:rPr>
            <w:sz w:val="20"/>
          </w:rPr>
          <w:t>皮肤良性肿物切除</w:t>
        </w:r>
      </w:hyperlink>
    </w:p>
    <w:p>
      <w:pPr>
        <w:spacing w:after="40"/>
        <w:ind w:left="230"/>
      </w:pPr>
      <w:hyperlink w:anchor="b56">
        <w:r>
          <w:rPr>
            <w:sz w:val="20"/>
          </w:rPr>
          <w:t>色素痣切除</w:t>
        </w:r>
      </w:hyperlink>
    </w:p>
    <w:p>
      <w:pPr>
        <w:spacing w:after="40"/>
        <w:ind w:left="230"/>
      </w:pPr>
      <w:hyperlink w:anchor="b62">
        <w:r>
          <w:rPr>
            <w:sz w:val="20"/>
          </w:rPr>
          <w:t>皮肤恶性肿瘤切除</w:t>
        </w:r>
      </w:hyperlink>
    </w:p>
    <w:p>
      <w:pPr>
        <w:spacing w:after="40"/>
        <w:ind w:left="230"/>
      </w:pPr>
      <w:hyperlink w:anchor="b68">
        <w:r>
          <w:rPr>
            <w:sz w:val="20"/>
          </w:rPr>
          <w:t>病理切缘管理</w:t>
        </w:r>
      </w:hyperlink>
    </w:p>
    <w:p>
      <w:pPr>
        <w:spacing w:after="40"/>
        <w:ind w:left="230"/>
      </w:pPr>
      <w:hyperlink w:anchor="b74">
        <w:r>
          <w:rPr>
            <w:sz w:val="20"/>
          </w:rPr>
          <w:t>皮肤局部修复</w:t>
        </w:r>
      </w:hyperlink>
    </w:p>
    <w:p>
      <w:pPr>
        <w:spacing w:after="40"/>
        <w:ind w:left="230"/>
      </w:pPr>
      <w:hyperlink w:anchor="b80">
        <w:r>
          <w:rPr>
            <w:sz w:val="20"/>
          </w:rPr>
          <w:t>局部皮瓣手术</w:t>
        </w:r>
      </w:hyperlink>
    </w:p>
    <w:p>
      <w:pPr>
        <w:spacing w:after="40"/>
        <w:ind w:left="230"/>
      </w:pPr>
      <w:hyperlink w:anchor="b86">
        <w:r>
          <w:rPr>
            <w:sz w:val="20"/>
          </w:rPr>
          <w:t>皮肤移植手术</w:t>
        </w:r>
      </w:hyperlink>
    </w:p>
    <w:p>
      <w:pPr>
        <w:spacing w:after="40"/>
        <w:ind w:left="230"/>
      </w:pPr>
      <w:hyperlink w:anchor="b92">
        <w:r>
          <w:rPr>
            <w:sz w:val="20"/>
          </w:rPr>
          <w:t>Mohs显微描记手术</w:t>
        </w:r>
      </w:hyperlink>
    </w:p>
    <w:p>
      <w:pPr>
        <w:spacing w:after="40"/>
        <w:ind w:left="230"/>
      </w:pPr>
      <w:hyperlink w:anchor="b98">
        <w:r>
          <w:rPr>
            <w:sz w:val="20"/>
          </w:rPr>
          <w:t>复杂创面修复</w:t>
        </w:r>
      </w:hyperlink>
    </w:p>
    <w:p>
      <w:pPr>
        <w:spacing w:after="40"/>
        <w:ind w:left="230"/>
      </w:pPr>
      <w:hyperlink w:anchor="b104">
        <w:r>
          <w:rPr>
            <w:sz w:val="20"/>
          </w:rPr>
          <w:t>液氮冷冻</w:t>
        </w:r>
      </w:hyperlink>
    </w:p>
    <w:p>
      <w:pPr>
        <w:spacing w:after="40"/>
        <w:ind w:left="230"/>
      </w:pPr>
      <w:hyperlink w:anchor="b110">
        <w:r>
          <w:rPr>
            <w:sz w:val="20"/>
          </w:rPr>
          <w:t>激光治疗</w:t>
        </w:r>
      </w:hyperlink>
    </w:p>
    <w:p>
      <w:pPr>
        <w:spacing w:after="40"/>
        <w:ind w:left="230"/>
      </w:pPr>
      <w:hyperlink w:anchor="b116">
        <w:r>
          <w:rPr>
            <w:sz w:val="20"/>
          </w:rPr>
          <w:t>光动力治疗</w:t>
        </w:r>
      </w:hyperlink>
    </w:p>
    <w:p>
      <w:pPr>
        <w:spacing w:after="40"/>
        <w:ind w:left="230"/>
      </w:pPr>
      <w:hyperlink w:anchor="b122">
        <w:r>
          <w:rPr>
            <w:sz w:val="20"/>
          </w:rPr>
          <w:t>窄谱UVB光疗</w:t>
        </w:r>
      </w:hyperlink>
    </w:p>
    <w:p>
      <w:pPr>
        <w:spacing w:after="40"/>
        <w:ind w:left="230"/>
      </w:pPr>
      <w:hyperlink w:anchor="b128">
        <w:r>
          <w:rPr>
            <w:sz w:val="20"/>
          </w:rPr>
          <w:t>其他光疗</w:t>
        </w:r>
      </w:hyperlink>
    </w:p>
    <w:p>
      <w:pPr>
        <w:spacing w:after="40"/>
        <w:ind w:left="230"/>
      </w:pPr>
      <w:hyperlink w:anchor="b134">
        <w:r>
          <w:rPr>
            <w:sz w:val="20"/>
          </w:rPr>
          <w:t>皮损内注射</w:t>
        </w:r>
      </w:hyperlink>
    </w:p>
    <w:p>
      <w:pPr>
        <w:spacing w:after="40"/>
        <w:ind w:left="230"/>
      </w:pPr>
      <w:hyperlink w:anchor="b140">
        <w:r>
          <w:rPr>
            <w:sz w:val="20"/>
          </w:rPr>
          <w:t>创面清洁换药</w:t>
        </w:r>
      </w:hyperlink>
    </w:p>
    <w:p>
      <w:pPr>
        <w:spacing w:after="40"/>
        <w:ind w:left="230"/>
      </w:pPr>
      <w:hyperlink w:anchor="b146">
        <w:r>
          <w:rPr>
            <w:sz w:val="20"/>
          </w:rPr>
          <w:t>湿敷</w:t>
        </w:r>
      </w:hyperlink>
    </w:p>
    <w:p>
      <w:pPr>
        <w:spacing w:after="40"/>
        <w:ind w:left="230"/>
      </w:pPr>
      <w:hyperlink w:anchor="b152">
        <w:r>
          <w:rPr>
            <w:sz w:val="20"/>
          </w:rPr>
          <w:t>包扎敷料处理</w:t>
        </w:r>
      </w:hyperlink>
    </w:p>
    <w:p>
      <w:pPr>
        <w:spacing w:after="40"/>
        <w:ind w:left="230"/>
      </w:pPr>
      <w:hyperlink w:anchor="b158">
        <w:r>
          <w:rPr>
            <w:sz w:val="20"/>
          </w:rPr>
          <w:t>感染切开引流</w:t>
        </w:r>
      </w:hyperlink>
    </w:p>
    <w:p>
      <w:pPr>
        <w:spacing w:after="40"/>
        <w:ind w:left="230"/>
      </w:pPr>
      <w:hyperlink w:anchor="b164">
        <w:r>
          <w:rPr>
            <w:sz w:val="20"/>
          </w:rPr>
          <w:t>其他院内授权操作</w:t>
        </w:r>
      </w:hyperlink>
    </w:p>
    <w:p>
      <w:pPr>
        <w:spacing w:after="40"/>
        <w:ind w:left="0"/>
      </w:pPr>
      <w:hyperlink w:anchor="b170">
        <w:r>
          <w:rPr>
            <w:sz w:val="20"/>
          </w:rPr>
          <w:t>真实性限制 常见错误与质控</w:t>
        </w:r>
      </w:hyperlink>
    </w:p>
    <w:p>
      <w:pPr>
        <w:spacing w:after="40"/>
        <w:ind w:left="0"/>
      </w:pPr>
      <w:hyperlink w:anchor="b173">
        <w:r>
          <w:rPr>
            <w:sz w:val="20"/>
          </w:rPr>
          <w:t>模块协同与版本维护</w:t>
        </w:r>
      </w:hyperlink>
    </w:p>
    <w:p>
      <w:pPr>
        <w:spacing w:after="40"/>
        <w:ind w:left="0"/>
      </w:pPr>
      <w:hyperlink w:anchor="b176">
        <w:r>
          <w:rPr>
            <w:sz w:val="20"/>
          </w:rPr>
          <w:t>参考指南及核验范围</w:t>
        </w:r>
      </w:hyperlink>
    </w:p>
    <w:p>
      <w:pPr>
        <w:spacing w:after="40"/>
        <w:ind w:left="0"/>
      </w:pPr>
      <w:hyperlink w:anchor="b188">
        <w:r>
          <w:rPr>
            <w:sz w:val="20"/>
          </w:rPr>
          <w:t>虚构病例示例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模块使用说明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功能定位：27类取材外科及治疗操作全流程。本库服务中国医院普通皮肤病房、重症、皮肤外科、治疗室及皮肤性病临床，由具有权限的医师审核拟稿。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适用场景与自动调用：拟操作、已操作、病理回报和术后复评。必要患者资料：病灶和操作ID、实际授权沟通、参数、标本及当次观察。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必须绑定patient_id、encounter_id、lesion_id及适用的procedure_id/specimen_id，附事件时间、记录时间、来源及核验状态。患者自述、医师实查、普通照片可见内容、真实皮肤镜、病原学、组织病理、免疫荧光、自身抗体和临床综合判断分别保存。医学知识不是患者事实；未知不等于阴性；既往查体不等于今日查体。建议、拟定、已开医嘱、已执行、暂停、停用、恢复和取消分离。不得补造身份、皮损、触诊、评分、检查、操作参数、药量、疗效、并发症、沟通、到场查房或签名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正式文书按01和10执行：题头在text代码框外，框内仅正文；日常病程及三级查房一整段，未知事实不补齐。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运行边界：这是可供AI读取的Word规则库，未连接医院电子病历、患者数据库或后台调度。自动调用是执行协议，须实际读取相应模块；不声称跨会话保存病历。不代替现场诊断、处方、操作授权、实际知情同意或医师签名。</w:t>
      </w:r>
    </w:p>
    <w:p>
      <w:bookmarkStart w:id="6" w:name="b6"/>
      <w:pPr>
        <w:pStyle w:val="Heading1"/>
      </w:pPr>
      <w:r>
        <w:t>操作前与实施状态</w:t>
      </w:r>
      <w:bookmarkEnd w:id="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每个事件独立P01等，拟定→医师确认→评估与知情状态→已开立→实际开始→完成或取消。准备、签同意、开医嘱均不能证明实施。操作后复查、再次换药和再次治疗另存事件。病理未采样不标待回。出血感染瘢痕疼痛神经损伤及设备特异风险按具体操作，沟通不得默认完成。</w:t>
      </w:r>
    </w:p>
    <w:p>
      <w:bookmarkStart w:id="8" w:name="b8"/>
      <w:pPr>
        <w:pStyle w:val="Heading2"/>
      </w:pPr>
      <w:r>
        <w:t>皮肤穿刺活检</w:t>
      </w:r>
      <w:bookmarkEnd w:id="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穿刺器规格、深度、部位、麻醉、闭合及标本。边界：诊断疑难炎症肿瘤等按具体问题；不能仅凭术名补直径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皮肤穿刺活检前评估及小结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皮肤穿刺活检记录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部位、麻醉及实际参数：【穿刺器规格、深度、部位、麻醉、闭合及标本】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皮肤穿刺活检后首次病程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14" w:name="b14"/>
      <w:pPr>
        <w:pStyle w:val="Heading2"/>
      </w:pPr>
      <w:r>
        <w:t>皮肤切取活检</w:t>
      </w:r>
      <w:bookmarkEnd w:id="1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必要资料和专业评估：取材代表性、切口范围、深度和剩余病灶。边界：非全切不能写病灶完整切除。先评病因适应证、禁忌、替代、抗栓及感染/妊娠等相关风险和本院授权，不自动停抗栓药。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皮肤切取活检前评估及小结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皮肤切取活检记录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部位、麻醉及实际参数：【取材代表性、切口范围、深度和剩余病灶】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皮肤切取活检后首次病程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20" w:name="b20"/>
      <w:pPr>
        <w:pStyle w:val="Heading2"/>
      </w:pPr>
      <w:r>
        <w:t>皮肤切除活检</w:t>
      </w:r>
      <w:bookmarkEnd w:id="2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必要资料和专业评估：病灶和切除范围、方向标记、闭合和病理。边界：活检切缘与最终治疗切缘不同。先评病因适应证、禁忌、替代、抗栓及感染/妊娠等相关风险和本院授权，不自动停抗栓药。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皮肤切除活检前评估及小结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皮肤切除活检记录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部位、麻醉及实际参数：【病灶和切除范围、方向标记、闭合和病理】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皮肤切除活检后首次病程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26" w:name="b26"/>
      <w:pPr>
        <w:pStyle w:val="Heading2"/>
      </w:pPr>
      <w:r>
        <w:t>病变皮肤活检</w:t>
      </w:r>
      <w:bookmarkEnd w:id="2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必要资料和专业评估：病损新旧、治疗史与病理目的。边界：不同病灶需独立取材标识。先评病因适应证、禁忌、替代、抗栓及感染/妊娠等相关风险和本院授权，不自动停抗栓药。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病变皮肤活检前评估及小结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病变皮肤活检记录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部位、麻醉及实际参数：【病损新旧、治疗史与病理目的】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病变皮肤活检后首次病程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32" w:name="b32"/>
      <w:pPr>
        <w:pStyle w:val="Heading2"/>
      </w:pPr>
      <w:r>
        <w:t>毛发和甲相关取材</w:t>
      </w:r>
      <w:bookmarkEnd w:id="3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头皮活动边缘、组织切面需求、甲板甲床甲母质来源。边界：按诊断问题取材，避免瘢痕损伤；标本方向与病理科确认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毛发和甲相关取材前评估及小结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毛发和甲相关取材记录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部位、麻醉及实际参数：【头皮活动边缘、组织切面需求、甲板甲床甲母质来源】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毛发和甲相关取材后首次病程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38" w:name="b38"/>
      <w:pPr>
        <w:pStyle w:val="Heading2"/>
      </w:pPr>
      <w:r>
        <w:t>免疫荧光取材</w:t>
      </w:r>
      <w:bookmarkEnd w:id="3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必要资料和专业评估：病种对应部位、单独容器、介质和送达。边界：HE/DIF分标本，不在无SOP时硬指定介质时限。先评病因适应证、禁忌、替代、抗栓及感染/妊娠等相关风险和本院授权，不自动停抗栓药。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免疫荧光取材前评估及小结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免疫荧光取材记录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部位、麻醉及实际参数：【病种对应部位、单独容器、介质和送达】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免疫荧光取材后首次病程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44" w:name="b44"/>
      <w:pPr>
        <w:pStyle w:val="Heading2"/>
      </w:pPr>
      <w:r>
        <w:t>拭子刮取及其他病原取材</w:t>
      </w:r>
      <w:bookmarkEnd w:id="4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必要资料和专业评估：皮屑疱液脓液组织、部位、采样前用药及微生物容器。边界：培养标本不可默认甲醛固定。先评病因适应证、禁忌、替代、抗栓及感染/妊娠等相关风险和本院授权，不自动停抗栓药。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拭子刮取及其他病原取材前评估及小结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拭子刮取及其他病原取材记录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部位、麻醉及实际参数：【皮屑疱液脓液组织、部位、采样前用药及微生物容器】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拭子刮取及其他病原取材后首次病程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50" w:name="b50"/>
      <w:pPr>
        <w:pStyle w:val="Heading2"/>
      </w:pPr>
      <w:r>
        <w:t>皮肤良性肿物切除</w:t>
      </w:r>
      <w:bookmarkEnd w:id="5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必要资料和专业评估：范围层次、术中所见、闭合及送检。边界：性质未明不按良性默认破坏。先评病因适应证、禁忌、替代、抗栓及感染/妊娠等相关风险和本院授权，不自动停抗栓药。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皮肤良性肿物切除前评估及小结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皮肤良性肿物切除记录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部位、麻醉及实际参数：【范围层次、术中所见、闭合及送检】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皮肤良性肿物切除后首次病程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56" w:name="b56"/>
      <w:pPr>
        <w:pStyle w:val="Heading2"/>
      </w:pPr>
      <w:r>
        <w:t>色素痣切除</w:t>
      </w:r>
      <w:bookmarkEnd w:id="5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必要资料和专业评估：定位变化、切除策略、方向和送病理。边界：疑恶性先考虑诊断分期完整性。先评病因适应证、禁忌、替代、抗栓及感染/妊娠等相关风险和本院授权，不自动停抗栓药。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色素痣切除前评估及小结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色素痣切除记录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部位、麻醉及实际参数：【定位变化、切除策略、方向和送病理】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色素痣切除后首次病程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62" w:name="b62"/>
      <w:pPr>
        <w:pStyle w:val="Heading2"/>
      </w:pPr>
      <w:r>
        <w:t>皮肤恶性肿瘤切除</w:t>
      </w:r>
      <w:bookmarkEnd w:id="6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必要资料和专业评估：真实术式范围、功能结构、标记及病理。边界：不自动填标准安全边界或分期。先评病因适应证、禁忌、替代、抗栓及感染/妊娠等相关风险和本院授权，不自动停抗栓药。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皮肤恶性肿瘤切除前评估及小结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皮肤恶性肿瘤切除记录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部位、麻醉及实际参数：【真实术式范围、功能结构、标记及病理】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皮肤恶性肿瘤切除后首次病程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68" w:name="b68"/>
      <w:pPr>
        <w:pStyle w:val="Heading2"/>
      </w:pPr>
      <w:r>
        <w:t>病理切缘管理</w:t>
      </w:r>
      <w:bookmarkEnd w:id="6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标本方向、侧缘深缘、数值与报告版本。边界：切缘阴性、阳性、接近和不能评价不同；已切除不等阴性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病理切缘管理前评估及小结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病理切缘管理记录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部位、麻醉及实际参数：【标本方向、侧缘深缘、数值与报告版本】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病理切缘管理后首次病程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74" w:name="b74"/>
      <w:pPr>
        <w:pStyle w:val="Heading2"/>
      </w:pPr>
      <w:r>
        <w:t>皮肤局部修复</w:t>
      </w:r>
      <w:bookmarkEnd w:id="7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必要资料和专业评估：缺损实测、处理层次和闭合张力。边界：未手术不能根据术前照片补缺损。先评病因适应证、禁忌、替代、抗栓及感染/妊娠等相关风险和本院授权，不自动停抗栓药。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皮肤局部修复前评估及小结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皮肤局部修复记录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部位、麻醉及实际参数：【缺损实测、处理层次和闭合张力】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皮肤局部修复后首次病程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80" w:name="b80"/>
      <w:pPr>
        <w:pStyle w:val="Heading2"/>
      </w:pPr>
      <w:r>
        <w:t>局部皮瓣手术</w:t>
      </w:r>
      <w:bookmarkEnd w:id="8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必要资料和专业评估：供受区、设计、血供、转移及闭合。边界：术后颜色温度毛细血管等需当次实查。先评病因适应证、禁忌、替代、抗栓及感染/妊娠等相关风险和本院授权，不自动停抗栓药。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局部皮瓣手术前评估及小结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局部皮瓣手术记录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部位、麻醉及实际参数：【供受区、设计、血供、转移及闭合】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局部皮瓣手术后首次病程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86" w:name="b86"/>
      <w:pPr>
        <w:pStyle w:val="Heading2"/>
      </w:pPr>
      <w:r>
        <w:t>皮肤移植手术</w:t>
      </w:r>
      <w:bookmarkEnd w:id="8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必要资料和专业评估：供区受区、皮片实际厚度范围、固定及敷料。边界：不能术后即写皮片完全成活。先评病因适应证、禁忌、替代、抗栓及感染/妊娠等相关风险和本院授权，不自动停抗栓药。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皮肤移植手术前评估及小结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皮肤移植手术记录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部位、麻醉及实际参数：【供区受区、皮片实际厚度范围、固定及敷料】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皮肤移植手术后首次病程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92" w:name="b92"/>
      <w:pPr>
        <w:pStyle w:val="Heading2"/>
      </w:pPr>
      <w:r>
        <w:t>Mohs显微描记手术</w:t>
      </w:r>
      <w:bookmarkEnd w:id="9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必要资料和专业评估：实际开展资质、每阶段图谱编号切缘及修复。边界：普通冰冻或普通切除不自动称Mohs。先评病因适应证、禁忌、替代、抗栓及感染/妊娠等相关风险和本院授权，不自动停抗栓药。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Mohs显微描记手术前评估及小结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Mohs显微描记手术记录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部位、麻醉及实际参数：【实际开展资质、每阶段图谱编号切缘及修复】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Mohs显微描记手术后首次病程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98" w:name="b98"/>
      <w:pPr>
        <w:pStyle w:val="Heading2"/>
      </w:pPr>
      <w:r>
        <w:t>复杂创面修复</w:t>
      </w:r>
      <w:bookmarkEnd w:id="9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必要资料和专业评估：病因、范围、坏死感染证据及修复方式。边界：创面面积深度不从照片精算。先评病因适应证、禁忌、替代、抗栓及感染/妊娠等相关风险和本院授权，不自动停抗栓药。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复杂创面修复前评估及小结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复杂创面修复记录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部位、麻醉及实际参数：【病因、范围、坏死感染证据及修复方式】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复杂创面修复后首次病程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104" w:name="b104"/>
      <w:pPr>
        <w:pStyle w:val="Heading2"/>
      </w:pPr>
      <w:r>
        <w:t>液氮冷冻</w:t>
      </w:r>
      <w:bookmarkEnd w:id="10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设备方法部位、冻融循环、持续时间、间隔及即时反应。边界：冷冻次数与时长必须原记录，不套标准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液氮冷冻前评估及小结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液氮冷冻记录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部位、麻醉及实际参数：【设备方法部位、冻融循环、持续时间、间隔及即时反应】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液氮冷冻后首次病程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110" w:name="b110"/>
      <w:pPr>
        <w:pStyle w:val="Heading2"/>
      </w:pPr>
      <w:r>
        <w:t>激光治疗</w:t>
      </w:r>
      <w:bookmarkEnd w:id="11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设备型号、波长、模式、光斑、能量或能量密度、脉宽频率遍数、部位、防护。边界：缺参数只能写已知事实并待核，不能代算；IPL不是激光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激光治疗前评估及小结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激光治疗记录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部位、麻醉及实际参数：【设备型号、波长、模式、光斑、能量或能量密度、脉宽频率遍数、部位、防护】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激光治疗后首次病程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116" w:name="b116"/>
      <w:pPr>
        <w:pStyle w:val="Heading2"/>
      </w:pPr>
      <w:r>
        <w:t>光动力治疗</w:t>
      </w:r>
      <w:bookmarkEnd w:id="11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光敏剂浓度用量、封包时长、光源波长、照射剂量及反应。边界：药物与光源参数分别实录，疼痛及光敏防护据实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光动力治疗前评估及小结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光动力治疗记录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部位、麻醉及实际参数：【光敏剂浓度用量、封包时长、光源波长、照射剂量及反应】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光动力治疗后首次病程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122" w:name="b122"/>
      <w:pPr>
        <w:pStyle w:val="Heading2"/>
      </w:pPr>
      <w:r>
        <w:t>窄谱UVB光疗</w:t>
      </w:r>
      <w:bookmarkEnd w:id="12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光源、部位、实际剂量单位、时长、累计次数、红斑及停变。边界：mJ/cm²与J/cm²区分，不自行递增剂量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窄谱UVB光疗前评估及小结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窄谱UVB光疗记录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部位、麻醉及实际参数：【光源、部位、实际剂量单位、时长、累计次数、红斑及停变】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窄谱UVB光疗后首次病程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128" w:name="b128"/>
      <w:pPr>
        <w:pStyle w:val="Heading2"/>
      </w:pPr>
      <w:r>
        <w:t>其他光疗</w:t>
      </w:r>
      <w:bookmarkEnd w:id="12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必要资料和专业评估：UVA1 PUVA或实际光源、药物和实际参数。边界：不同波段方案不能互换，妊娠光敏药风险单查。先评病因适应证、禁忌、替代、抗栓及感染/妊娠等相关风险和本院授权，不自动停抗栓药。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其他光疗前评估及小结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其他光疗记录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部位、麻醉及实际参数：【UVA1 PUVA或实际光源、药物和实际参数】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其他光疗后首次病程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134" w:name="b134"/>
      <w:pPr>
        <w:pStyle w:val="Heading2"/>
      </w:pPr>
      <w:r>
        <w:t>皮损内注射</w:t>
      </w:r>
      <w:bookmarkEnd w:id="13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必要资料和专业评估：药名浓度总量稀释、部位点数和实际反应。边界：不能从局部药名猜系统吸收或总剂量。先评病因适应证、禁忌、替代、抗栓及感染/妊娠等相关风险和本院授权，不自动停抗栓药。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皮损内注射前评估及小结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皮损内注射记录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部位、麻醉及实际参数：【药名浓度总量稀释、部位点数和实际反应】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皮损内注射后首次病程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140" w:name="b140"/>
      <w:pPr>
        <w:pStyle w:val="Heading2"/>
      </w:pPr>
      <w:r>
        <w:t>创面清洁换药</w:t>
      </w:r>
      <w:bookmarkEnd w:id="14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必要资料和专业评估：具体创面、溶液、方法、敷料及疼痛渗液。边界：观察记录不等已换药。先评病因适应证、禁忌、替代、抗栓及感染/妊娠等相关风险和本院授权，不自动停抗栓药。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创面清洁换药前评估及小结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创面清洁换药记录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部位、麻醉及实际参数：【具体创面、溶液、方法、敷料及疼痛渗液】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创面清洁换药后首次病程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146" w:name="b146"/>
      <w:pPr>
        <w:pStyle w:val="Heading2"/>
      </w:pPr>
      <w:r>
        <w:t>湿敷</w:t>
      </w:r>
      <w:bookmarkEnd w:id="14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必要资料和专业评估：溶液浓度、部位时长频次和反应。边界：渗出状态匹配，不能把拟湿敷写实施。先评病因适应证、禁忌、替代、抗栓及感染/妊娠等相关风险和本院授权，不自动停抗栓药。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湿敷前评估及小结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湿敷记录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部位、麻醉及实际参数：【溶液浓度、部位时长频次和反应】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湿敷后首次病程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152" w:name="b152"/>
      <w:pPr>
        <w:pStyle w:val="Heading2"/>
      </w:pPr>
      <w:r>
        <w:t>包扎敷料处理</w:t>
      </w:r>
      <w:bookmarkEnd w:id="15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必要资料和专业评估：材料部位范围、固定及循环皮肤观察。边界：未检查不写血运正常。先评病因适应证、禁忌、替代、抗栓及感染/妊娠等相关风险和本院授权，不自动停抗栓药。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包扎敷料处理前评估及小结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包扎敷料处理记录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部位、麻醉及实际参数：【材料部位范围、固定及循环皮肤观察】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包扎敷料处理后首次病程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158" w:name="b158"/>
      <w:pPr>
        <w:pStyle w:val="Heading2"/>
      </w:pPr>
      <w:r>
        <w:t>感染切开引流</w:t>
      </w:r>
      <w:bookmarkEnd w:id="15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部位切口、麻醉、脓腔、培养、引流填塞及复查。边界：需外科授权与坏死性感染排查；不以表浅处理替代急诊协作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感染切开引流前评估及小结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感染切开引流记录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部位、麻醉及实际参数：【部位切口、麻醉、脓腔、培养、引流填塞及复查】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感染切开引流后首次病程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164" w:name="b164"/>
      <w:pPr>
        <w:pStyle w:val="Heading2"/>
      </w:pPr>
      <w:r>
        <w:t>其他院内授权操作</w:t>
      </w:r>
      <w:bookmarkEnd w:id="16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必要资料和专业评估：具体名称授权者实际步骤参数与观察。边界：不从模板扩展本院未开展技术。先评病因适应证、禁忌、替代、抗栓及感染/妊娠等相关风险和本院授权，不自动停抗栓药。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其他院内授权操作前评估及小结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当前【病灶ID部位诊断确定度】，拟行【操作及目的】，适应证【真实依据】，风险及替代【本例评估】，已完成准备【实情】，知情沟通及签署【真实状态】，拟【医师确认后续安排】。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其他院内授权操作记录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操作事件：【ID、真实开始结束及操作者】</w:t>
        <w:br/>
        <w:t>操作前后诊断：【实际】</w:t>
        <w:br/>
        <w:t>部位、麻醉及实际参数：【具体名称授权者实际步骤参数与观察】</w:t>
        <w:br/>
        <w:t>过程及结果：【真实实施和终点】</w:t>
        <w:br/>
        <w:t>标本及送检：【实际编号或不适用】</w:t>
        <w:br/>
        <w:t>不良事件与处置：【实情，不默认无】</w:t>
        <w:br/>
        <w:t>操作后安排：【确认计划】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其他院内授权操作后首次病程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患者于【实际时间】完成【P编号及操作】，现诉【实情】，当次观察【创面皮损疼痛出血及实际相关生命体征】，实际予【处理】，标本【待回或结果状态】，计划【复查与监测】。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复查与换药：核对同一操作部位、创缘敷料渗血渗液、疼痛及功能，记录真实处理。并发症：按06记录异常时间、证据、实际处置反应。病理回报：04核标本后10修正诊断；不能由切除推切缘。术后三级查房：08分别核执行、鉴别风险、重大策略。出院前：09明确创面护理、真实拆线评估时点及待回结果责任，不能默认统一天数。</w:t>
      </w:r>
    </w:p>
    <w:p>
      <w:bookmarkStart w:id="170" w:name="b170"/>
      <w:pPr>
        <w:pStyle w:val="Heading1"/>
      </w:pPr>
      <w:r>
        <w:t>真实性限制 常见错误与质控</w:t>
      </w:r>
      <w:bookmarkEnd w:id="17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逐项核对患者和本次住院、病灶部位侧别、资料可知时间、证据确定度、检查标本对应、药物和操作执行、当日复评及文书格式。关键冲突阻断净稿；非关键缺项可省略，不填写“未见异常”掩盖缺失。原文中的可能、考虑、倾向及不能排除保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常见错误：旧照片充当今日查体；皮肤镜怀疑当病理确诊；阳性培养当所有皮损病因；抗体阳性当全部确诊；拟治疗当已完成；术后默认创面好；未实际查房即代写上级意见。上述均触发修订来源和重新审查。</w:t>
      </w:r>
    </w:p>
    <w:p>
      <w:bookmarkStart w:id="173" w:name="b173"/>
      <w:pPr>
        <w:pStyle w:val="Heading1"/>
      </w:pPr>
      <w:r>
        <w:t>模块协同与版本维护</w:t>
      </w:r>
      <w:bookmarkEnd w:id="17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统一顺序为00识别→01约束→11核对状态→02至09按任务选用→101至108按疾病选用→10终审→合格后输出。多病共存分别论证；联合模块不得重复生成相互矛盾医嘱。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；编制及检索截止2026年10月30日。维护人由医院指定皮肤科、病理检验、药学和病案质控负责人；至少季度复查题录及当前说明书，重要安全信息或正式更新时立即修订。修订保留版本、变更条目、依据和受影响场景回测，不静默覆盖已签病历。</w:t>
      </w:r>
    </w:p>
    <w:p>
      <w:bookmarkStart w:id="176" w:name="b176"/>
      <w:pPr>
        <w:pStyle w:val="Heading1"/>
      </w:pPr>
      <w:r>
        <w:t>参考指南及核验范围</w:t>
      </w:r>
      <w:bookmarkEnd w:id="17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仅记录本次实际可获得范围。正式发表、注册、题录摘要、可读全文、未核原文分开；未完整核验的条款、推荐等级、药物剂量、批准年龄及院内SOP均不补造。引用不表示本库已获临床认证；检索未见更新不等于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R01 病历书写基本规范。发布机构：原卫生部；年份或版本：2010；适用：住院文书结构及完成时限；核验日期：2026-10-30。核验结果：官方正文可见；未发现本次检索范围内替代文件，不宣称穷尽检索。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https:/​/​www.nhc.gov.cn/​wjw/​gfxwj/​201002/​79d42b9c8b3f47ee91000d31de116784.shtml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R16 中国皮肤基底细胞癌诊疗指南（2023版）。发布机构：国家皮肤与免疫疾病临床医学研究中心等专家组；年份或版本：版本2023 正式刊发2024；适用：BCC临床病理及治疗；核验日期：2026-10-30。核验结果：中山大学中山眼科中心发布页及原刊影印件可见；中华医学杂志2024年第104卷第6期。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https:/​/​www.gzzoc.org.cn/​node/​14014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R25 窄谱中波紫外线光疗皮肤科临床应用指南（2026版）。发布机构：指南工作组，完整组织署名待原刊核对；年份或版本：2026；适用：NB UVB及相关光源规范；核验日期：2026-10-30。核验结果：二级题录索引提示2026正式指南，原刊全文和完整组织署名未完整核验；不录剂量推荐。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https:/​/​guide.medlive.cn/​guide_​v2/​1/​39668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R27 Expert consensus on the clinical application of narrow band intense pulsed light 2024 edition。发布机构：中国相关整复外科及皮肤科专家编写组；年份或版本：2024；适用：窄谱强脉冲光，不能外推全部激光；核验日期：2026-10-30。核验结果：原始共识全文开放；设备适应证和参数仍须实际记录。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https:/​/​pmc.ncbi.nlm.nih.gov/​articles/​PMC11630202/​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R30 皮肤镜 皮肤病理免疫荧光 标本转运及药品说明书核验任务。发布机构：本院病理科检验科药学部与设备管理部门；年份或版本：院内有效版本待接入；适用：皮肤镜、HE/DIF分标本、药品批准范围及设备参数；核验日期：2026-10-30。核验结果：未获得本院SOP及具体药品说明书；作为待核任务，不是已发表指南，禁止据此填参数与介质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https:/​/​www.nmpa.gov.cn/​</w:t>
      </w:r>
    </w:p>
    <w:p>
      <w:bookmarkStart w:id="188" w:name="b188"/>
      <w:pPr>
        <w:pStyle w:val="Heading1"/>
      </w:pPr>
      <w:r>
        <w:t>虚构病例示例</w:t>
      </w:r>
      <w:bookmarkEnd w:id="18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以下病例完全虚构，仅供规则演示，不得导入真实病例。患者TEST05、住院E01，日期2026年10月30日，事实限定如下。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日常病程记录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患者右前臂P01穿刺活检已于10月29日完成，标本S01送常规病理，当前尚未回报。今日切口覆敷料，未提供揭开后观察记录，不能写切口无红肿或已愈合；拟按已确认安排复查创面并追踪病理。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皮肤科AI病历书写系统 V1.0  |  模块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05_皮肤活检冷冻光疗激光及皮肤外科围操作期文书模板库</dc:title>
  <dc:subject>皮肤科医学文书规则与模板</dc:subject>
  <dc:creator>皮肤科AI病历规则库</dc:creator>
  <cp:keywords>V1.0 2026-10-30 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