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06 皮肤科重症药疹严重感染及急危重症病程模板库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06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本模块涵盖重症药疹严重感染及急危重症病程模板库。使用时先核患者及本次住院、真实证据与执行状态，再按任务读取相关章节。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6">
        <w:r>
          <w:rPr>
            <w:sz w:val="20"/>
          </w:rPr>
          <w:t>紧急优先与事件链</w:t>
        </w:r>
      </w:hyperlink>
    </w:p>
    <w:p>
      <w:pPr>
        <w:spacing w:after="40"/>
        <w:ind w:left="230"/>
      </w:pPr>
      <w:hyperlink w:anchor="b8">
        <w:r>
          <w:rPr>
            <w:sz w:val="20"/>
          </w:rPr>
          <w:t>SJS TEN及重叠</w:t>
        </w:r>
      </w:hyperlink>
    </w:p>
    <w:p>
      <w:pPr>
        <w:spacing w:after="40"/>
        <w:ind w:left="230"/>
      </w:pPr>
      <w:hyperlink w:anchor="b11">
        <w:r>
          <w:rPr>
            <w:sz w:val="20"/>
          </w:rPr>
          <w:t>DRESS综合征</w:t>
        </w:r>
      </w:hyperlink>
    </w:p>
    <w:p>
      <w:pPr>
        <w:spacing w:after="40"/>
        <w:ind w:left="230"/>
      </w:pPr>
      <w:hyperlink w:anchor="b14">
        <w:r>
          <w:rPr>
            <w:sz w:val="20"/>
          </w:rPr>
          <w:t>AGEP</w:t>
        </w:r>
      </w:hyperlink>
    </w:p>
    <w:p>
      <w:pPr>
        <w:spacing w:after="40"/>
        <w:ind w:left="230"/>
      </w:pPr>
      <w:hyperlink w:anchor="b17">
        <w:r>
          <w:rPr>
            <w:sz w:val="20"/>
          </w:rPr>
          <w:t>严重药物性皮疹</w:t>
        </w:r>
      </w:hyperlink>
    </w:p>
    <w:p>
      <w:pPr>
        <w:spacing w:after="40"/>
        <w:ind w:left="230"/>
      </w:pPr>
      <w:hyperlink w:anchor="b20">
        <w:r>
          <w:rPr>
            <w:sz w:val="20"/>
          </w:rPr>
          <w:t>红皮病</w:t>
        </w:r>
      </w:hyperlink>
    </w:p>
    <w:p>
      <w:pPr>
        <w:spacing w:after="40"/>
        <w:ind w:left="230"/>
      </w:pPr>
      <w:hyperlink w:anchor="b23">
        <w:r>
          <w:rPr>
            <w:sz w:val="20"/>
          </w:rPr>
          <w:t>泛发性脓疱型银屑病</w:t>
        </w:r>
      </w:hyperlink>
    </w:p>
    <w:p>
      <w:pPr>
        <w:spacing w:after="40"/>
        <w:ind w:left="230"/>
      </w:pPr>
      <w:hyperlink w:anchor="b26">
        <w:r>
          <w:rPr>
            <w:sz w:val="20"/>
          </w:rPr>
          <w:t>严重免疫性大疱病</w:t>
        </w:r>
      </w:hyperlink>
    </w:p>
    <w:p>
      <w:pPr>
        <w:spacing w:after="40"/>
        <w:ind w:left="230"/>
      </w:pPr>
      <w:hyperlink w:anchor="b29">
        <w:r>
          <w:rPr>
            <w:sz w:val="20"/>
          </w:rPr>
          <w:t>大片糜烂渗出和屏障破坏</w:t>
        </w:r>
      </w:hyperlink>
    </w:p>
    <w:p>
      <w:pPr>
        <w:spacing w:after="40"/>
        <w:ind w:left="230"/>
      </w:pPr>
      <w:hyperlink w:anchor="b32">
        <w:r>
          <w:rPr>
            <w:sz w:val="20"/>
          </w:rPr>
          <w:t>蜂窝织炎及全身感染</w:t>
        </w:r>
      </w:hyperlink>
    </w:p>
    <w:p>
      <w:pPr>
        <w:spacing w:after="40"/>
        <w:ind w:left="230"/>
      </w:pPr>
      <w:hyperlink w:anchor="b35">
        <w:r>
          <w:rPr>
            <w:sz w:val="20"/>
          </w:rPr>
          <w:t>坏死性软组织感染</w:t>
        </w:r>
      </w:hyperlink>
    </w:p>
    <w:p>
      <w:pPr>
        <w:spacing w:after="40"/>
        <w:ind w:left="230"/>
      </w:pPr>
      <w:hyperlink w:anchor="b38">
        <w:r>
          <w:rPr>
            <w:sz w:val="20"/>
          </w:rPr>
          <w:t>严重带状疱疹及播散病毒</w:t>
        </w:r>
      </w:hyperlink>
    </w:p>
    <w:p>
      <w:pPr>
        <w:spacing w:after="40"/>
        <w:ind w:left="230"/>
      </w:pPr>
      <w:hyperlink w:anchor="b41">
        <w:r>
          <w:rPr>
            <w:sz w:val="20"/>
          </w:rPr>
          <w:t>免疫抑制相关严重感染</w:t>
        </w:r>
      </w:hyperlink>
    </w:p>
    <w:p>
      <w:pPr>
        <w:spacing w:after="40"/>
        <w:ind w:left="230"/>
      </w:pPr>
      <w:hyperlink w:anchor="b44">
        <w:r>
          <w:rPr>
            <w:sz w:val="20"/>
          </w:rPr>
          <w:t>荨麻疹伴严重过敏及过敏性休克</w:t>
        </w:r>
      </w:hyperlink>
    </w:p>
    <w:p>
      <w:pPr>
        <w:spacing w:after="40"/>
        <w:ind w:left="230"/>
      </w:pPr>
      <w:hyperlink w:anchor="b47">
        <w:r>
          <w:rPr>
            <w:sz w:val="20"/>
          </w:rPr>
          <w:t>高热</w:t>
        </w:r>
      </w:hyperlink>
    </w:p>
    <w:p>
      <w:pPr>
        <w:spacing w:after="40"/>
        <w:ind w:left="230"/>
      </w:pPr>
      <w:hyperlink w:anchor="b50">
        <w:r>
          <w:rPr>
            <w:sz w:val="20"/>
          </w:rPr>
          <w:t>严重脱水电解质紊乱</w:t>
        </w:r>
      </w:hyperlink>
    </w:p>
    <w:p>
      <w:pPr>
        <w:spacing w:after="40"/>
        <w:ind w:left="230"/>
      </w:pPr>
      <w:hyperlink w:anchor="b53">
        <w:r>
          <w:rPr>
            <w:sz w:val="20"/>
          </w:rPr>
          <w:t>急性肝肾异常</w:t>
        </w:r>
      </w:hyperlink>
    </w:p>
    <w:p>
      <w:pPr>
        <w:spacing w:after="40"/>
        <w:ind w:left="230"/>
      </w:pPr>
      <w:hyperlink w:anchor="b56">
        <w:r>
          <w:rPr>
            <w:sz w:val="20"/>
          </w:rPr>
          <w:t>免疫抑制严重不良反应</w:t>
        </w:r>
      </w:hyperlink>
    </w:p>
    <w:p>
      <w:pPr>
        <w:spacing w:after="40"/>
        <w:ind w:left="230"/>
      </w:pPr>
      <w:hyperlink w:anchor="b59">
        <w:r>
          <w:rPr>
            <w:sz w:val="20"/>
          </w:rPr>
          <w:t>生物制剂严重不良事件</w:t>
        </w:r>
      </w:hyperlink>
    </w:p>
    <w:p>
      <w:pPr>
        <w:spacing w:after="40"/>
        <w:ind w:left="230"/>
      </w:pPr>
      <w:hyperlink w:anchor="b62">
        <w:r>
          <w:rPr>
            <w:sz w:val="20"/>
          </w:rPr>
          <w:t>JAK及其他靶向药严重事件</w:t>
        </w:r>
      </w:hyperlink>
    </w:p>
    <w:p>
      <w:pPr>
        <w:spacing w:after="40"/>
        <w:ind w:left="230"/>
      </w:pPr>
      <w:hyperlink w:anchor="b65">
        <w:r>
          <w:rPr>
            <w:sz w:val="20"/>
          </w:rPr>
          <w:t>危重多科协作及转ICU</w:t>
        </w:r>
      </w:hyperlink>
    </w:p>
    <w:p>
      <w:pPr>
        <w:spacing w:after="40"/>
        <w:ind w:left="0"/>
      </w:pPr>
      <w:hyperlink w:anchor="b68">
        <w:r>
          <w:rPr>
            <w:sz w:val="20"/>
          </w:rPr>
          <w:t>重症药疹药物时间轴</w:t>
        </w:r>
      </w:hyperlink>
    </w:p>
    <w:p>
      <w:pPr>
        <w:spacing w:after="40"/>
        <w:ind w:left="0"/>
      </w:pPr>
      <w:hyperlink w:anchor="b70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73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76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86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功能定位：重症药疹屏障损伤严重感染及抢救。本库服务中国医院普通皮肤病房、重症、皮肤外科、治疗室及皮肤性病临床，由具有权限的医师审核拟稿。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适用场景与自动调用：快速进展皮损黏膜或生命体征异常。必要患者资料：真实异常时间、现场皮损全身生命体征、药物时序及实际处置。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正式文书按01和10执行：题头在text代码框外，框内仅正文；日常病程及三级查房一整段，未知事实不补齐。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6" w:name="b6"/>
      <w:pPr>
        <w:pStyle w:val="Heading1"/>
      </w:pPr>
      <w:r>
        <w:t>紧急优先与事件链</w:t>
      </w:r>
      <w:bookmarkEnd w:id="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疑SJS/TEN、过敏性休克、坏死性软组织感染等先提示立即现场评估、呼叫具备资质团队按本院急救规范处理，不等病历资料齐全。不得因等待病理或评分延误处置。正文链为异常发生时间→真实皮损黏膜→全身症状→生命体征→可知检验→严重度及危险→实际治疗→真实变化→后续计划。未实施措施只能作为框外建议或确认计划。</w:t>
      </w:r>
    </w:p>
    <w:p>
      <w:bookmarkStart w:id="8" w:name="b8"/>
      <w:pPr>
        <w:pStyle w:val="Heading2"/>
      </w:pPr>
      <w:r>
        <w:t>SJS TEN及重叠</w:t>
      </w:r>
      <w:bookmarkEnd w:id="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痛性暗红或非典型靶形、表皮剥脱和黏膜累及，重症药物暴露与感染鉴别。严重度边界：在相容临床前提下按实际剥脱/可剥脱BSA：SJS小于10%，重叠10至30%，TEN大于30%；不是红斑总面积。优先事项：眼气道泌尿黏膜、液体营养、感染及器官风险，多学科重症协作；SCORTEN变量不全拒算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SJS TEN及重叠病程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" w:name="b11"/>
      <w:pPr>
        <w:pStyle w:val="Heading2"/>
      </w:pPr>
      <w:r>
        <w:t>DRESS综合征</w:t>
      </w:r>
      <w:bookmarkEnd w:id="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暴露潜伏期、发热皮疹面肿、嗜酸或异型淋巴及器官损害，需排感染等。严重度边界：按选定RegiSCAR等原表逐项核，缺项不补分；嗜酸升高或发热疹非单独确诊。优先事项：肝肾心肺及延迟受累风险，长期随访由实际器官状况决定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DRESS综合征病程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" w:name="b14"/>
      <w:pPr>
        <w:pStyle w:val="Heading2"/>
      </w:pPr>
      <w:r>
        <w:t>AGEP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事实和鉴别：急性泛发非毛囊脓疱、药物时序及病理支持，培养用于鉴别并存感染。严重度边界：与GPP、感染性脓疱分开；EuroSCAR等须完整表和真实变量。优先事项：系统受累、脱水感染及药物因果需评估。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AGEP病程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" w:name="b17"/>
      <w:pPr>
        <w:pStyle w:val="Heading2"/>
      </w:pPr>
      <w:r>
        <w:t>严重药物性皮疹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新药停变再暴露与皮损全身时间轴，临床表型未明保留。严重度边界：不能直接指定唯一致敏药，ALDEN等须适用对象原表。优先事项：停疑药等处置只由现场医师决定并如实记录；禁止自动药物激发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严重药物性皮疹病程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" w:name="b20"/>
      <w:pPr>
        <w:pStyle w:val="Heading2"/>
      </w:pPr>
      <w:r>
        <w:t>红皮病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事实和鉴别：实际泛发红斑脱屑与原病、药物、肿瘤等证据。严重度边界：红皮病综合征不自动等银屑病或药疹。优先事项：体温液体蛋白电解质心肺感染风险，避免刺激性外用。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红皮病病程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" w:name="b23"/>
      <w:pPr>
        <w:pStyle w:val="Heading2"/>
      </w:pPr>
      <w:r>
        <w:t>泛发性脓疱型银屑病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事实和鉴别：新脓疱范围与新发率、发热、停变药及原病证据。严重度边界：与AGEP、细菌感染鉴别，培养阴性不是唯一确诊。优先事项：液体电解质、器官和循环评估，个体化快速控炎。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泛发性脓疱型银屑病病程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" w:name="b26"/>
      <w:pPr>
        <w:pStyle w:val="Heading2"/>
      </w:pPr>
      <w:r>
        <w:t>严重免疫性大疱病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事实和鉴别：新疱数、黏膜、糜烂范围及免疫病理。严重度边界：BP PV PNP等分型分别管理，不能从疱多判类型。优先事项：进食气道眼部、脱水营养及感染协作。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严重免疫性大疱病病程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9" w:name="b29"/>
      <w:pPr>
        <w:pStyle w:val="Heading2"/>
      </w:pPr>
      <w:r>
        <w:t>大片糜烂渗出和屏障破坏</w:t>
      </w:r>
      <w:bookmarkEnd w:id="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事实和鉴别：实际面积渗液疼痛体温与出入量。严重度边界：表面定植不等败血症；面积不能无标尺照片精算。优先事项：温和护理、液体营养评估及实执行治疗。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大片糜烂渗出和屏障破坏病程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2" w:name="b32"/>
      <w:pPr>
        <w:pStyle w:val="Heading2"/>
      </w:pPr>
      <w:r>
        <w:t>蜂窝织炎及全身感染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事实和鉴别：红肿热痛动态边界、生命体征、培养与器官异常。严重度边界：发热和CRP不能单独确诊脓毒症；按适用标准现场评估。优先事项：低压少尿意识改变等需紧急感染重症协作。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蜂窝织炎及全身感染病程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5" w:name="b35"/>
      <w:pPr>
        <w:pStyle w:val="Heading2"/>
      </w:pPr>
      <w:r>
        <w:t>坏死性软组织感染</w:t>
      </w:r>
      <w:bookmarkEnd w:id="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事实和鉴别：疼痛不成比例、快速扩展、紫暗大疱坏死、毒血症样表现。严重度边界：早期皮肤表面不重或影像阴性不能安全排除。优先事项：立即外科重症感染协作，影像取样不应延误高度怀疑者手术评估。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坏死性软组织感染病程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" w:name="b38"/>
      <w:pPr>
        <w:pStyle w:val="Heading2"/>
      </w:pPr>
      <w:r>
        <w:t>严重带状疱疹及播散病毒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事实和鉴别：多皮节或播散疱、眼耳神经和免疫状态。严重度边界：按临床和真实病毒检测，单血清IgG不能判播散。优先事项：呼吸神经眼病变及免疫抑制者紧急协作。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严重带状疱疹及播散病毒病程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1" w:name="b41"/>
      <w:pPr>
        <w:pStyle w:val="Heading2"/>
      </w:pPr>
      <w:r>
        <w:t>免疫抑制相关严重感染</w:t>
      </w:r>
      <w:bookmarkEnd w:id="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事实和鉴别：真实免疫药执行、发热皮损及局灶器官表现。严重度边界：感染与原病活动药物反应并行鉴别。优先事项：危重先处理，暂停或恢复免疫药记录真实决策。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免疫抑制相关严重感染病程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4" w:name="b44"/>
      <w:pPr>
        <w:pStyle w:val="Heading2"/>
      </w:pPr>
      <w:r>
        <w:t>荨麻疹伴严重过敏及过敏性休克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皮肤黏膜加气道呼吸循环等急性多系统表现。严重度边界：无皮疹不能排严重过敏；无低压也可能危及气道。优先事项：立即现场急救与气道循环评估，按本院方案执行并记录药物剂量时间；AI不生成已注射事实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荨麻疹伴严重过敏及过敏性休克病程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7" w:name="b47"/>
      <w:pPr>
        <w:pStyle w:val="Heading2"/>
      </w:pPr>
      <w:r>
        <w:t>高热</w:t>
      </w:r>
      <w:bookmarkEnd w:id="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事实和鉴别：实测部位时间体温和趋势，伴症与药物。严重度边界：感染、药物、原病炎症及其他系统病分开。优先事项：持续高热伴低压意识变化及时重症评估。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高热病程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0" w:name="b50"/>
      <w:pPr>
        <w:pStyle w:val="Heading2"/>
      </w:pPr>
      <w:r>
        <w:t>严重脱水电解质紊乱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事实和鉴别：实际入出量体重血压尿量及电解质单位。严重度边界：不从渗出照片推液体缺失量或补液量。优先事项：按现场电解质与循环评估处理，复查采样和治疗时序清晰。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严重脱水电解质紊乱病程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3" w:name="b53"/>
      <w:pPr>
        <w:pStyle w:val="Heading2"/>
      </w:pPr>
      <w:r>
        <w:t>急性肝肾异常</w:t>
      </w:r>
      <w:bookmarkEnd w:id="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事实和鉴别：基线与动态肝肾指标、尿量药物及感染。严重度边界：原病、药物、低灌注、感染等鉴别，不能单凭ALT升高定DRESS。优先事项：及时相应专科及重症协作，药量调整有真实医嘱。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急性肝肾异常病程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6" w:name="b56"/>
      <w:pPr>
        <w:pStyle w:val="Heading2"/>
      </w:pPr>
      <w:r>
        <w:t>免疫抑制严重不良反应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事实和鉴别：药名剂量时序、血细胞器官和感染证据。严重度边界：风险警告不能直接成为已发生不良事件。优先事项：停止调整恢复均须实际医师决定。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免疫抑制严重不良反应病程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9" w:name="b59"/>
      <w:pPr>
        <w:pStyle w:val="Heading2"/>
      </w:pPr>
      <w:r>
        <w:t>生物制剂严重不良事件</w:t>
      </w:r>
      <w:bookmarkEnd w:id="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每次实际给药、输注注射反应及感染肝炎再激活等。严重度边界：单个事件按具体药物和时间因果，不用统一生物制剂风险套全部。优先事项：气道循环异常先抢救，记录药物批次与安全报告实际状态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生物制剂严重不良事件病程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2" w:name="b62"/>
      <w:pPr>
        <w:pStyle w:val="Heading2"/>
      </w:pPr>
      <w:r>
        <w:t>JAK及其他靶向药严重事件</w:t>
      </w:r>
      <w:bookmarkEnd w:id="6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事实和鉴别：感染、血栓心血管或细胞减少等真实症状检验。严重度边界：JAK TYK2及其他靶点风险和批准不混写。优先事项：及时现场评估与药物调整，不能直接把风险写血栓确诊。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JAK及其他靶向药严重事件病程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5" w:name="b65"/>
      <w:pPr>
        <w:pStyle w:val="Heading2"/>
      </w:pPr>
      <w:r>
        <w:t>危重多科协作及转ICU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事实和鉴别：申请、到场意见、采纳、转运与实际接收时点。严重度边界：申请转入不等已接收，所有会诊意见真实。优先事项：交接气道循环创面隔离、医嘱与待回结果责任。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危重多科协作及转ICU病程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点】出现【实际皮肤黏膜及全身异常】，现场【实测生命体征】，检查【项目采样及可知结果】，目前考虑【诊断确定度及危险】，实际于【时间】采取【已完成处置及操作者来源】，后【实查反应】，拟【后续监测会诊及转运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8" w:name="b68"/>
      <w:pPr>
        <w:pStyle w:val="Heading1"/>
      </w:pPr>
      <w:r>
        <w:t>重症药疹药物时间轴</w:t>
      </w:r>
      <w:bookmarkEnd w:id="6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药记录通用名、途径、首次至末次给药、既往暴露、皮疹与黏膜起点、发热器官异常、停药和实际治疗、反应时间。可疑药不等已证实过敏；报告、过敏标识、患者告知按实际完成状态。严重药疹恢复期须09追踪迟发器官及黏膜后遗问题。</w:t>
      </w:r>
    </w:p>
    <w:p>
      <w:bookmarkStart w:id="70" w:name="b70"/>
      <w:pPr>
        <w:pStyle w:val="Heading1"/>
      </w:pPr>
      <w:r>
        <w:t>真实性限制 常见错误与质控</w:t>
      </w:r>
      <w:bookmarkEnd w:id="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73" w:name="b73"/>
      <w:pPr>
        <w:pStyle w:val="Heading1"/>
      </w:pPr>
      <w:r>
        <w:t>模块协同与版本维护</w:t>
      </w:r>
      <w:bookmarkEnd w:id="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76" w:name="b76"/>
      <w:pPr>
        <w:pStyle w:val="Heading1"/>
      </w:pPr>
      <w:r>
        <w:t>参考指南及核验范围</w:t>
      </w:r>
      <w:bookmarkEnd w:id="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R19 Practice Guidelines for Skin and Soft Tissue Infections。发布机构：Infectious Diseases Society of America；年份或版本：2014；适用：软组织感染与坏死性感染协作；核验日期：2026-10-30。核验结果：学会官方正文可见；仅作补充，不替代中国抗菌药物制度及本地耐药数据。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https:/​/​www.idsociety.org/​practice-guideline/​skin-and-soft-tissue-infections/​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R23 中国药疹诊疗指南（2026版）。发布机构：中华医学会皮肤性病学分会及变态反应学分会、中国麻风防治协会；年份或版本：2026；适用：药疹识别与安全管理；核验日期：2026-10-30。核验结果：本次页面为2026年59卷9期，正式题录摘要可检索；链接随期更新，完整推荐待原刊复核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https:/​/​cs.medjournals.cn/​cn/​zhpfkzz/​current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R24 Stevens-Johnson综合征 中毒性表皮坏死松解症诊疗专家共识。发布机构：中华医学会皮肤性病学分会药物不良反应研究中心；年份或版本：2021；适用：SJS TEN诊断与危险评估；核验日期：2026-10-30。核验结果：正式文献题录摘要可见；SCORTEN使用须核原始量表，不由摘要补药物治疗推荐。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https:/​/​www.sinomed.ac.cn/​article.do?ui=2021352389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R29 免疫检查点抑制剂相关皮肤不良反应诊治中国专家共识（2024版）。发布机构：中华医学会皮肤性病学分会等联合专家组；年份或版本：2024；适用：免疫治疗皮肤不良反应；核验日期：2026-10-30。核验结果：原论文摘要及出版信息可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https:/​/​pubmed.ncbi.nlm.nih.gov/​38782747/​</w:t>
      </w:r>
    </w:p>
    <w:p>
      <w:bookmarkStart w:id="86" w:name="b86"/>
      <w:pPr>
        <w:pStyle w:val="Heading1"/>
      </w:pPr>
      <w:r>
        <w:t>虚构病例示例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以下病例完全虚构，仅供规则演示，不得导入真实病例。患者TEST06、住院E01，日期2026年10月30日，事实限定如下。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今日新出现口腔糜烂及躯干痛性暗红斑，近期有新药暴露，现场需立即评估SJS/TEN等严重药物反应并开展相应处置。现有资料未提供表皮剥脱面积、完整生命体征及SCORTEN变量，暂不确定SJS或TEN分型和评分；已实施治疗需按现场真实记录补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06_皮肤科重症药疹严重感染及急危重症病程模板库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