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07 皮肤科外用系统治疗生物制剂及医嘱表达规则库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07    所属层级 通用功能层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本模块涵盖外用系统治疗生物制剂及医嘱表达规则库。使用时先核患者及本次住院、真实证据与执行状态，再按任务读取相关章节。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6">
        <w:r>
          <w:rPr>
            <w:sz w:val="20"/>
          </w:rPr>
          <w:t>处方与执行状态机</w:t>
        </w:r>
      </w:hyperlink>
    </w:p>
    <w:p>
      <w:pPr>
        <w:spacing w:after="40"/>
        <w:ind w:left="230"/>
      </w:pPr>
      <w:hyperlink w:anchor="b8">
        <w:r>
          <w:rPr>
            <w:sz w:val="20"/>
          </w:rPr>
          <w:t>保湿与屏障修复</w:t>
        </w:r>
      </w:hyperlink>
    </w:p>
    <w:p>
      <w:pPr>
        <w:spacing w:after="40"/>
        <w:ind w:left="230"/>
      </w:pPr>
      <w:hyperlink w:anchor="b11">
        <w:r>
          <w:rPr>
            <w:sz w:val="20"/>
          </w:rPr>
          <w:t>外用糖皮质激素</w:t>
        </w:r>
      </w:hyperlink>
    </w:p>
    <w:p>
      <w:pPr>
        <w:spacing w:after="40"/>
        <w:ind w:left="230"/>
      </w:pPr>
      <w:hyperlink w:anchor="b14">
        <w:r>
          <w:rPr>
            <w:sz w:val="20"/>
          </w:rPr>
          <w:t>外用钙调神经磷酸酶抑制剂</w:t>
        </w:r>
      </w:hyperlink>
    </w:p>
    <w:p>
      <w:pPr>
        <w:spacing w:after="40"/>
        <w:ind w:left="230"/>
      </w:pPr>
      <w:hyperlink w:anchor="b17">
        <w:r>
          <w:rPr>
            <w:sz w:val="20"/>
          </w:rPr>
          <w:t>其他外用抗炎药</w:t>
        </w:r>
      </w:hyperlink>
    </w:p>
    <w:p>
      <w:pPr>
        <w:spacing w:after="40"/>
        <w:ind w:left="230"/>
      </w:pPr>
      <w:hyperlink w:anchor="b20">
        <w:r>
          <w:rPr>
            <w:sz w:val="20"/>
          </w:rPr>
          <w:t>外用抗真菌药</w:t>
        </w:r>
      </w:hyperlink>
    </w:p>
    <w:p>
      <w:pPr>
        <w:spacing w:after="40"/>
        <w:ind w:left="230"/>
      </w:pPr>
      <w:hyperlink w:anchor="b23">
        <w:r>
          <w:rPr>
            <w:sz w:val="20"/>
          </w:rPr>
          <w:t>外用抗菌药</w:t>
        </w:r>
      </w:hyperlink>
    </w:p>
    <w:p>
      <w:pPr>
        <w:spacing w:after="40"/>
        <w:ind w:left="230"/>
      </w:pPr>
      <w:hyperlink w:anchor="b26">
        <w:r>
          <w:rPr>
            <w:sz w:val="20"/>
          </w:rPr>
          <w:t>外用抗病毒相关</w:t>
        </w:r>
      </w:hyperlink>
    </w:p>
    <w:p>
      <w:pPr>
        <w:spacing w:after="40"/>
        <w:ind w:left="230"/>
      </w:pPr>
      <w:hyperlink w:anchor="b29">
        <w:r>
          <w:rPr>
            <w:sz w:val="20"/>
          </w:rPr>
          <w:t>角质调节与其他制剂</w:t>
        </w:r>
      </w:hyperlink>
    </w:p>
    <w:p>
      <w:pPr>
        <w:spacing w:after="40"/>
        <w:ind w:left="230"/>
      </w:pPr>
      <w:hyperlink w:anchor="b32">
        <w:r>
          <w:rPr>
            <w:sz w:val="20"/>
          </w:rPr>
          <w:t>湿敷与敷料</w:t>
        </w:r>
      </w:hyperlink>
    </w:p>
    <w:p>
      <w:pPr>
        <w:spacing w:after="40"/>
        <w:ind w:left="230"/>
      </w:pPr>
      <w:hyperlink w:anchor="b35">
        <w:r>
          <w:rPr>
            <w:sz w:val="20"/>
          </w:rPr>
          <w:t>系统性糖皮质激素</w:t>
        </w:r>
      </w:hyperlink>
    </w:p>
    <w:p>
      <w:pPr>
        <w:spacing w:after="40"/>
        <w:ind w:left="230"/>
      </w:pPr>
      <w:hyperlink w:anchor="b38">
        <w:r>
          <w:rPr>
            <w:sz w:val="20"/>
          </w:rPr>
          <w:t>抗组胺药</w:t>
        </w:r>
      </w:hyperlink>
    </w:p>
    <w:p>
      <w:pPr>
        <w:spacing w:after="40"/>
        <w:ind w:left="230"/>
      </w:pPr>
      <w:hyperlink w:anchor="b41">
        <w:r>
          <w:rPr>
            <w:sz w:val="20"/>
          </w:rPr>
          <w:t>系统抗菌药</w:t>
        </w:r>
      </w:hyperlink>
    </w:p>
    <w:p>
      <w:pPr>
        <w:spacing w:after="40"/>
        <w:ind w:left="230"/>
      </w:pPr>
      <w:hyperlink w:anchor="b44">
        <w:r>
          <w:rPr>
            <w:sz w:val="20"/>
          </w:rPr>
          <w:t>系统抗真菌药</w:t>
        </w:r>
      </w:hyperlink>
    </w:p>
    <w:p>
      <w:pPr>
        <w:spacing w:after="40"/>
        <w:ind w:left="230"/>
      </w:pPr>
      <w:hyperlink w:anchor="b47">
        <w:r>
          <w:rPr>
            <w:sz w:val="20"/>
          </w:rPr>
          <w:t>系统抗病毒药</w:t>
        </w:r>
      </w:hyperlink>
    </w:p>
    <w:p>
      <w:pPr>
        <w:spacing w:after="40"/>
        <w:ind w:left="230"/>
      </w:pPr>
      <w:hyperlink w:anchor="b50">
        <w:r>
          <w:rPr>
            <w:sz w:val="20"/>
          </w:rPr>
          <w:t>免疫抑制剂</w:t>
        </w:r>
      </w:hyperlink>
    </w:p>
    <w:p>
      <w:pPr>
        <w:spacing w:after="40"/>
        <w:ind w:left="230"/>
      </w:pPr>
      <w:hyperlink w:anchor="b53">
        <w:r>
          <w:rPr>
            <w:sz w:val="20"/>
          </w:rPr>
          <w:t>维A酸类</w:t>
        </w:r>
      </w:hyperlink>
    </w:p>
    <w:p>
      <w:pPr>
        <w:spacing w:after="40"/>
        <w:ind w:left="230"/>
      </w:pPr>
      <w:hyperlink w:anchor="b56">
        <w:r>
          <w:rPr>
            <w:sz w:val="20"/>
          </w:rPr>
          <w:t>传统银屑病系统药</w:t>
        </w:r>
      </w:hyperlink>
    </w:p>
    <w:p>
      <w:pPr>
        <w:spacing w:after="40"/>
        <w:ind w:left="230"/>
      </w:pPr>
      <w:hyperlink w:anchor="b59">
        <w:r>
          <w:rPr>
            <w:sz w:val="20"/>
          </w:rPr>
          <w:t>生物制剂</w:t>
        </w:r>
      </w:hyperlink>
    </w:p>
    <w:p>
      <w:pPr>
        <w:spacing w:after="40"/>
        <w:ind w:left="230"/>
      </w:pPr>
      <w:hyperlink w:anchor="b62">
        <w:r>
          <w:rPr>
            <w:sz w:val="20"/>
          </w:rPr>
          <w:t>JAK抑制剂</w:t>
        </w:r>
      </w:hyperlink>
    </w:p>
    <w:p>
      <w:pPr>
        <w:spacing w:after="40"/>
        <w:ind w:left="230"/>
      </w:pPr>
      <w:hyperlink w:anchor="b65">
        <w:r>
          <w:rPr>
            <w:sz w:val="20"/>
          </w:rPr>
          <w:t>其他靶向药物</w:t>
        </w:r>
      </w:hyperlink>
    </w:p>
    <w:p>
      <w:pPr>
        <w:spacing w:after="40"/>
        <w:ind w:left="0"/>
      </w:pPr>
      <w:hyperlink w:anchor="b68">
        <w:r>
          <w:rPr>
            <w:sz w:val="20"/>
          </w:rPr>
          <w:t>筛查与监测闭环</w:t>
        </w:r>
      </w:hyperlink>
    </w:p>
    <w:p>
      <w:pPr>
        <w:spacing w:after="40"/>
        <w:ind w:left="0"/>
      </w:pPr>
      <w:hyperlink w:anchor="b70">
        <w:r>
          <w:rPr>
            <w:sz w:val="20"/>
          </w:rPr>
          <w:t>治疗反应与暂停恢复</w:t>
        </w:r>
      </w:hyperlink>
    </w:p>
    <w:p>
      <w:pPr>
        <w:spacing w:after="40"/>
        <w:ind w:left="0"/>
      </w:pPr>
      <w:hyperlink w:anchor="b72">
        <w:r>
          <w:rPr>
            <w:sz w:val="20"/>
          </w:rPr>
          <w:t>真实性限制 常见错误与质控</w:t>
        </w:r>
      </w:hyperlink>
    </w:p>
    <w:p>
      <w:pPr>
        <w:spacing w:after="40"/>
        <w:ind w:left="0"/>
      </w:pPr>
      <w:hyperlink w:anchor="b75">
        <w:r>
          <w:rPr>
            <w:sz w:val="20"/>
          </w:rPr>
          <w:t>模块协同与版本维护</w:t>
        </w:r>
      </w:hyperlink>
    </w:p>
    <w:p>
      <w:pPr>
        <w:spacing w:after="40"/>
        <w:ind w:left="0"/>
      </w:pPr>
      <w:hyperlink w:anchor="b78">
        <w:r>
          <w:rPr>
            <w:sz w:val="20"/>
          </w:rPr>
          <w:t>参考指南及核验范围</w:t>
        </w:r>
      </w:hyperlink>
    </w:p>
    <w:p>
      <w:pPr>
        <w:spacing w:after="40"/>
        <w:ind w:left="0"/>
      </w:pPr>
      <w:hyperlink w:anchor="b90">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功能定位：外用系统药物与免疫靶向治疗的处方执行管理。本库服务中国医院普通皮肤病房、重症、皮肤外科、治疗室及皮肤性病临床，由具有权限的医师审核拟稿。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适用场景与自动调用：拟开始、调整、暂停、停用、恢复及出院续药。必要患者资料：通用名剂型部位途径、真实方案、医师决策及每次执行。</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pPr>
        <w:spacing w:after="100"/>
      </w:pPr>
      <w:r>
        <w:rPr>
          <w:rFonts w:ascii="Arial" w:hAnsi="Arial" w:eastAsia="宋体"/>
          <w:b w:val="0"/>
          <w:color w:val="000000"/>
          <w:sz w:val="22"/>
        </w:rPr>
        <w:t>正式文书按01和10执行：题头在text代码框外，框内仅正文；日常病程及三级查房一整段，未知事实不补齐。</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6" w:name="b6"/>
      <w:pPr>
        <w:pStyle w:val="Heading1"/>
      </w:pPr>
      <w:r>
        <w:t>处方与执行状态机</w:t>
      </w:r>
      <w:bookmarkEnd w:id="6"/>
    </w:p>
    <w:p>
      <w:pPr>
        <w:spacing w:after="100"/>
      </w:pPr>
      <w:r>
        <w:rPr>
          <w:rFonts w:ascii="Arial" w:hAnsi="Arial" w:eastAsia="宋体"/>
          <w:b w:val="0"/>
          <w:color w:val="000000"/>
          <w:sz w:val="22"/>
        </w:rPr>
        <w:t>医学知识knowledge→建议suggested→医师确认planned→已开医嘱ordered→实际给药administration。用药过程可paused、stopped、declined、cancelled，恢复须新决策和执行。医嘱有效不证明每次已服，取消不证明此前从未服，停药不抹去旧暴露。每药记录开始调整停复时间、原因、来源及当前版本；生物制剂每针独立。</w:t>
      </w:r>
    </w:p>
    <w:p>
      <w:bookmarkStart w:id="8" w:name="b8"/>
      <w:pPr>
        <w:pStyle w:val="Heading2"/>
      </w:pPr>
      <w:r>
        <w:t>保湿与屏障修复</w:t>
      </w:r>
      <w:bookmarkEnd w:id="8"/>
    </w:p>
    <w:p>
      <w:pPr>
        <w:spacing w:after="100"/>
      </w:pPr>
      <w:r>
        <w:rPr>
          <w:rFonts w:ascii="Arial" w:hAnsi="Arial" w:eastAsia="宋体"/>
          <w:b w:val="0"/>
          <w:color w:val="000000"/>
          <w:sz w:val="22"/>
        </w:rPr>
        <w:t>适用条件：存在对应诊断依据及实际医师治疗意图。必要资料：部位、剂型、次数、清洁及刺激情况。决策和风险：与外用药间隔按确认方案，不能从保湿推病情改善。检查结果、计划、医嘱与每次执行分层；无资料不填剂量频次疗程或疗效。</w:t>
      </w:r>
    </w:p>
    <w:p>
      <w:pPr>
        <w:keepNext/>
        <w:spacing w:after="100"/>
      </w:pPr>
      <w:r>
        <w:rPr>
          <w:rFonts w:ascii="Arial" w:hAnsi="Arial" w:eastAsia="宋体"/>
          <w:b w:val="0"/>
          <w:color w:val="000000"/>
          <w:sz w:val="22"/>
        </w:rPr>
        <w:t>【日期时间】 保湿与屏障修复调整病程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11" w:name="b11"/>
      <w:pPr>
        <w:pStyle w:val="Heading2"/>
      </w:pPr>
      <w:r>
        <w:t>外用糖皮质激素</w:t>
      </w:r>
      <w:bookmarkEnd w:id="11"/>
    </w:p>
    <w:p>
      <w:pPr>
        <w:spacing w:after="100"/>
      </w:pPr>
      <w:r>
        <w:rPr>
          <w:rFonts w:ascii="Arial" w:hAnsi="Arial" w:eastAsia="宋体"/>
          <w:b w:val="0"/>
          <w:color w:val="000000"/>
          <w:sz w:val="22"/>
        </w:rPr>
        <w:t>适用条件：存在对应诊断依据及实际医师治疗意图。必要资料：药品浓度、效价体系、部位面积、年龄、封包、周期。决策和风险：面皱褶生殖器及儿童吸收萎缩风险；不自动强效或系统激素。检查结果、计划、医嘱与每次执行分层；无资料不填剂量频次疗程或疗效。</w:t>
      </w:r>
    </w:p>
    <w:p>
      <w:pPr>
        <w:keepNext/>
        <w:spacing w:after="100"/>
      </w:pPr>
      <w:r>
        <w:rPr>
          <w:rFonts w:ascii="Arial" w:hAnsi="Arial" w:eastAsia="宋体"/>
          <w:b w:val="0"/>
          <w:color w:val="000000"/>
          <w:sz w:val="22"/>
        </w:rPr>
        <w:t>【日期时间】 外用糖皮质激素调整病程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14" w:name="b14"/>
      <w:pPr>
        <w:pStyle w:val="Heading2"/>
      </w:pPr>
      <w:r>
        <w:t>外用钙调神经磷酸酶抑制剂</w:t>
      </w:r>
      <w:bookmarkEnd w:id="14"/>
    </w:p>
    <w:p>
      <w:pPr>
        <w:spacing w:after="100"/>
      </w:pPr>
      <w:r>
        <w:rPr>
          <w:rFonts w:ascii="Arial" w:hAnsi="Arial" w:eastAsia="宋体"/>
          <w:b w:val="0"/>
          <w:color w:val="000000"/>
          <w:sz w:val="22"/>
        </w:rPr>
        <w:t>适用条件：存在对应诊断依据及实际医师治疗意图。必要资料：药名浓度、年龄、皮损部位感染及刺激。决策和风险：核批准范围与实际方案，不默认所有黏膜适用。检查结果、计划、医嘱与每次执行分层；无资料不填剂量频次疗程或疗效。</w:t>
      </w:r>
    </w:p>
    <w:p>
      <w:pPr>
        <w:keepNext/>
        <w:spacing w:after="100"/>
      </w:pPr>
      <w:r>
        <w:rPr>
          <w:rFonts w:ascii="Arial" w:hAnsi="Arial" w:eastAsia="宋体"/>
          <w:b w:val="0"/>
          <w:color w:val="000000"/>
          <w:sz w:val="22"/>
        </w:rPr>
        <w:t>【日期时间】 外用钙调神经磷酸酶抑制剂调整病程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17" w:name="b17"/>
      <w:pPr>
        <w:pStyle w:val="Heading2"/>
      </w:pPr>
      <w:r>
        <w:t>其他外用抗炎药</w:t>
      </w:r>
      <w:bookmarkEnd w:id="17"/>
    </w:p>
    <w:p>
      <w:pPr>
        <w:spacing w:after="100"/>
      </w:pPr>
      <w:r>
        <w:rPr>
          <w:rFonts w:ascii="Arial" w:hAnsi="Arial" w:eastAsia="宋体"/>
          <w:b w:val="0"/>
          <w:color w:val="000000"/>
          <w:sz w:val="22"/>
        </w:rPr>
        <w:t>适用条件：存在对应诊断依据及实际医师治疗意图。必要资料：具体靶点浓度年龄适应证和面积限制。决策和风险：PDE4 JAK及其他制剂不混风险和批准。检查结果、计划、医嘱与每次执行分层；无资料不填剂量频次疗程或疗效。</w:t>
      </w:r>
    </w:p>
    <w:p>
      <w:pPr>
        <w:keepNext/>
        <w:spacing w:after="100"/>
      </w:pPr>
      <w:r>
        <w:rPr>
          <w:rFonts w:ascii="Arial" w:hAnsi="Arial" w:eastAsia="宋体"/>
          <w:b w:val="0"/>
          <w:color w:val="000000"/>
          <w:sz w:val="22"/>
        </w:rPr>
        <w:t>【日期时间】 其他外用抗炎药调整病程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20" w:name="b20"/>
      <w:pPr>
        <w:pStyle w:val="Heading2"/>
      </w:pPr>
      <w:r>
        <w:t>外用抗真菌药</w:t>
      </w:r>
      <w:bookmarkEnd w:id="20"/>
    </w:p>
    <w:p>
      <w:pPr>
        <w:spacing w:after="100"/>
      </w:pPr>
      <w:r>
        <w:rPr>
          <w:rFonts w:ascii="Arial" w:hAnsi="Arial" w:eastAsia="宋体"/>
          <w:b w:val="0"/>
          <w:color w:val="000000"/>
          <w:sz w:val="22"/>
        </w:rPr>
        <w:t>适用条件：存在对应诊断依据及实际医师治疗意图。必要资料：病原证据、部位范围、制剂及疗程。决策和风险：疗效与检验各自记录，不凭环状疹自动药物已使用。检查结果、计划、医嘱与每次执行分层；无资料不填剂量频次疗程或疗效。</w:t>
      </w:r>
    </w:p>
    <w:p>
      <w:pPr>
        <w:keepNext/>
        <w:spacing w:after="100"/>
      </w:pPr>
      <w:r>
        <w:rPr>
          <w:rFonts w:ascii="Arial" w:hAnsi="Arial" w:eastAsia="宋体"/>
          <w:b w:val="0"/>
          <w:color w:val="000000"/>
          <w:sz w:val="22"/>
        </w:rPr>
        <w:t>【日期时间】 外用抗真菌药调整病程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23" w:name="b23"/>
      <w:pPr>
        <w:pStyle w:val="Heading2"/>
      </w:pPr>
      <w:r>
        <w:t>外用抗菌药</w:t>
      </w:r>
      <w:bookmarkEnd w:id="23"/>
    </w:p>
    <w:p>
      <w:pPr>
        <w:spacing w:after="100"/>
      </w:pPr>
      <w:r>
        <w:rPr>
          <w:rFonts w:ascii="Arial" w:hAnsi="Arial" w:eastAsia="宋体"/>
          <w:b w:val="0"/>
          <w:color w:val="000000"/>
          <w:sz w:val="22"/>
        </w:rPr>
        <w:t>适用条件：存在对应诊断依据及实际医师治疗意图。必要资料：局限感染证据、部位范围和短期复评。决策和风险：不作为无感染皮炎长期常规治疗。检查结果、计划、医嘱与每次执行分层；无资料不填剂量频次疗程或疗效。</w:t>
      </w:r>
    </w:p>
    <w:p>
      <w:pPr>
        <w:keepNext/>
        <w:spacing w:after="100"/>
      </w:pPr>
      <w:r>
        <w:rPr>
          <w:rFonts w:ascii="Arial" w:hAnsi="Arial" w:eastAsia="宋体"/>
          <w:b w:val="0"/>
          <w:color w:val="000000"/>
          <w:sz w:val="22"/>
        </w:rPr>
        <w:t>【日期时间】 外用抗菌药调整病程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26" w:name="b26"/>
      <w:pPr>
        <w:pStyle w:val="Heading2"/>
      </w:pPr>
      <w:r>
        <w:t>外用抗病毒相关</w:t>
      </w:r>
      <w:bookmarkEnd w:id="26"/>
    </w:p>
    <w:p>
      <w:pPr>
        <w:spacing w:after="100"/>
      </w:pPr>
      <w:r>
        <w:rPr>
          <w:rFonts w:ascii="Arial" w:hAnsi="Arial" w:eastAsia="宋体"/>
          <w:b w:val="0"/>
          <w:color w:val="000000"/>
          <w:sz w:val="22"/>
        </w:rPr>
        <w:t>适用条件：存在对应诊断依据及实际医师治疗意图。必要资料：具体病种及制剂。决策和风险：不能代替有系统抗病毒指征的评估。检查结果、计划、医嘱与每次执行分层；无资料不填剂量频次疗程或疗效。</w:t>
      </w:r>
    </w:p>
    <w:p>
      <w:pPr>
        <w:keepNext/>
        <w:spacing w:after="100"/>
      </w:pPr>
      <w:r>
        <w:rPr>
          <w:rFonts w:ascii="Arial" w:hAnsi="Arial" w:eastAsia="宋体"/>
          <w:b w:val="0"/>
          <w:color w:val="000000"/>
          <w:sz w:val="22"/>
        </w:rPr>
        <w:t>【日期时间】 外用抗病毒相关调整病程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29" w:name="b29"/>
      <w:pPr>
        <w:pStyle w:val="Heading2"/>
      </w:pPr>
      <w:r>
        <w:t>角质调节与其他制剂</w:t>
      </w:r>
      <w:bookmarkEnd w:id="29"/>
    </w:p>
    <w:p>
      <w:pPr>
        <w:spacing w:after="100"/>
      </w:pPr>
      <w:r>
        <w:rPr>
          <w:rFonts w:ascii="Arial" w:hAnsi="Arial" w:eastAsia="宋体"/>
          <w:b w:val="0"/>
          <w:color w:val="000000"/>
          <w:sz w:val="22"/>
        </w:rPr>
        <w:t>适用条件：存在对应诊断依据及实际医师治疗意图。必要资料：浓度面积皮肤完整性及年龄。决策和风险：儿童大面积、敏感部位吸收及刺激风险。检查结果、计划、医嘱与每次执行分层；无资料不填剂量频次疗程或疗效。</w:t>
      </w:r>
    </w:p>
    <w:p>
      <w:pPr>
        <w:keepNext/>
        <w:spacing w:after="100"/>
      </w:pPr>
      <w:r>
        <w:rPr>
          <w:rFonts w:ascii="Arial" w:hAnsi="Arial" w:eastAsia="宋体"/>
          <w:b w:val="0"/>
          <w:color w:val="000000"/>
          <w:sz w:val="22"/>
        </w:rPr>
        <w:t>【日期时间】 角质调节与其他制剂调整病程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32" w:name="b32"/>
      <w:pPr>
        <w:pStyle w:val="Heading2"/>
      </w:pPr>
      <w:r>
        <w:t>湿敷与敷料</w:t>
      </w:r>
      <w:bookmarkEnd w:id="32"/>
    </w:p>
    <w:p>
      <w:pPr>
        <w:spacing w:after="100"/>
      </w:pPr>
      <w:r>
        <w:rPr>
          <w:rFonts w:ascii="Arial" w:hAnsi="Arial" w:eastAsia="宋体"/>
          <w:b w:val="0"/>
          <w:color w:val="000000"/>
          <w:sz w:val="22"/>
        </w:rPr>
        <w:t>适用条件：存在对应诊断依据及实际医师治疗意图。必要资料：溶液浓度时长部位次数及创面状态。决策和风险：05记操作实执行，不把拟湿敷当完成。检查结果、计划、医嘱与每次执行分层；无资料不填剂量频次疗程或疗效。</w:t>
      </w:r>
    </w:p>
    <w:p>
      <w:pPr>
        <w:keepNext/>
        <w:spacing w:after="100"/>
      </w:pPr>
      <w:r>
        <w:rPr>
          <w:rFonts w:ascii="Arial" w:hAnsi="Arial" w:eastAsia="宋体"/>
          <w:b w:val="0"/>
          <w:color w:val="000000"/>
          <w:sz w:val="22"/>
        </w:rPr>
        <w:t>【日期时间】 湿敷与敷料调整病程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35" w:name="b35"/>
      <w:pPr>
        <w:pStyle w:val="Heading2"/>
      </w:pPr>
      <w:r>
        <w:t>系统性糖皮质激素</w:t>
      </w:r>
      <w:bookmarkEnd w:id="35"/>
    </w:p>
    <w:p>
      <w:pPr>
        <w:spacing w:after="100"/>
      </w:pPr>
      <w:r>
        <w:rPr>
          <w:rFonts w:ascii="Arial" w:hAnsi="Arial" w:eastAsia="宋体"/>
          <w:b w:val="0"/>
          <w:color w:val="000000"/>
          <w:sz w:val="22"/>
        </w:rPr>
        <w:t>适用条件：存在对应诊断依据及实际医师治疗意图。必要资料：适应证、通用名等效与剂量、起止、减量和累计暴露。决策和风险：感染、代谢骨与肾上腺风险，不能给全部皮炎自动系统激素。检查结果、计划、医嘱与每次执行分层；无资料不填剂量频次疗程或疗效。</w:t>
      </w:r>
    </w:p>
    <w:p>
      <w:pPr>
        <w:keepNext/>
        <w:spacing w:after="100"/>
      </w:pPr>
      <w:r>
        <w:rPr>
          <w:rFonts w:ascii="Arial" w:hAnsi="Arial" w:eastAsia="宋体"/>
          <w:b w:val="0"/>
          <w:color w:val="000000"/>
          <w:sz w:val="22"/>
        </w:rPr>
        <w:t>【日期时间】 系统性糖皮质激素调整病程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38" w:name="b38"/>
      <w:pPr>
        <w:pStyle w:val="Heading2"/>
      </w:pPr>
      <w:r>
        <w:t>抗组胺药</w:t>
      </w:r>
      <w:bookmarkEnd w:id="38"/>
    </w:p>
    <w:p>
      <w:pPr>
        <w:spacing w:after="100"/>
      </w:pPr>
      <w:r>
        <w:rPr>
          <w:rFonts w:ascii="Arial" w:hAnsi="Arial" w:eastAsia="宋体"/>
          <w:b w:val="0"/>
          <w:color w:val="000000"/>
          <w:sz w:val="22"/>
        </w:rPr>
        <w:t>适用条件：存在对应诊断依据及实际医师治疗意图。必要资料：药名剂型、年龄、肝肾及镇静抗胆碱。决策和风险：荨麻疹与AD用途不同，升级和联合须医师明确。检查结果、计划、医嘱与每次执行分层；无资料不填剂量频次疗程或疗效。</w:t>
      </w:r>
    </w:p>
    <w:p>
      <w:pPr>
        <w:keepNext/>
        <w:spacing w:after="100"/>
      </w:pPr>
      <w:r>
        <w:rPr>
          <w:rFonts w:ascii="Arial" w:hAnsi="Arial" w:eastAsia="宋体"/>
          <w:b w:val="0"/>
          <w:color w:val="000000"/>
          <w:sz w:val="22"/>
        </w:rPr>
        <w:t>【日期时间】 抗组胺药调整病程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41" w:name="b41"/>
      <w:pPr>
        <w:pStyle w:val="Heading2"/>
      </w:pPr>
      <w:r>
        <w:t>系统抗菌药</w:t>
      </w:r>
      <w:bookmarkEnd w:id="41"/>
    </w:p>
    <w:p>
      <w:pPr>
        <w:spacing w:after="100"/>
      </w:pPr>
      <w:r>
        <w:rPr>
          <w:rFonts w:ascii="Arial" w:hAnsi="Arial" w:eastAsia="宋体"/>
          <w:b w:val="0"/>
          <w:color w:val="000000"/>
          <w:sz w:val="22"/>
        </w:rPr>
        <w:t>适用条件：存在对应诊断依据及实际医师治疗意图。必要资料：感染病原、严重度、耐药、过敏、肝肾。决策和风险：留样与急救权衡，不写培养敏感就已执行。检查结果、计划、医嘱与每次执行分层；无资料不填剂量频次疗程或疗效。</w:t>
      </w:r>
    </w:p>
    <w:p>
      <w:pPr>
        <w:keepNext/>
        <w:spacing w:after="100"/>
      </w:pPr>
      <w:r>
        <w:rPr>
          <w:rFonts w:ascii="Arial" w:hAnsi="Arial" w:eastAsia="宋体"/>
          <w:b w:val="0"/>
          <w:color w:val="000000"/>
          <w:sz w:val="22"/>
        </w:rPr>
        <w:t>【日期时间】 系统抗菌药调整病程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44" w:name="b44"/>
      <w:pPr>
        <w:pStyle w:val="Heading2"/>
      </w:pPr>
      <w:r>
        <w:t>系统抗真菌药</w:t>
      </w:r>
      <w:bookmarkEnd w:id="44"/>
    </w:p>
    <w:p>
      <w:pPr>
        <w:spacing w:after="100"/>
      </w:pPr>
      <w:r>
        <w:rPr>
          <w:rFonts w:ascii="Arial" w:hAnsi="Arial" w:eastAsia="宋体"/>
          <w:b w:val="0"/>
          <w:color w:val="000000"/>
          <w:sz w:val="22"/>
        </w:rPr>
        <w:t>适用条件：存在对应诊断依据及实际医师治疗意图。必要资料：真菌病证据、部位及肝肾相互作用。决策和风险：甲变色不自动长期口服，培养定植不等侵袭感染。检查结果、计划、医嘱与每次执行分层；无资料不填剂量频次疗程或疗效。</w:t>
      </w:r>
    </w:p>
    <w:p>
      <w:pPr>
        <w:keepNext/>
        <w:spacing w:after="100"/>
      </w:pPr>
      <w:r>
        <w:rPr>
          <w:rFonts w:ascii="Arial" w:hAnsi="Arial" w:eastAsia="宋体"/>
          <w:b w:val="0"/>
          <w:color w:val="000000"/>
          <w:sz w:val="22"/>
        </w:rPr>
        <w:t>【日期时间】 系统抗真菌药调整病程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47" w:name="b47"/>
      <w:pPr>
        <w:pStyle w:val="Heading2"/>
      </w:pPr>
      <w:r>
        <w:t>系统抗病毒药</w:t>
      </w:r>
      <w:bookmarkEnd w:id="47"/>
    </w:p>
    <w:p>
      <w:pPr>
        <w:spacing w:after="100"/>
      </w:pPr>
      <w:r>
        <w:rPr>
          <w:rFonts w:ascii="Arial" w:hAnsi="Arial" w:eastAsia="宋体"/>
          <w:b w:val="0"/>
          <w:color w:val="000000"/>
          <w:sz w:val="22"/>
        </w:rPr>
        <w:t>适用条件：存在对应诊断依据及实际医师治疗意图。必要资料：HSV VZV等病种、起病窗口免疫肾功能。决策和风险：给药途径剂量及疗程必须真实医嘱，儿童体重缺失不算。检查结果、计划、医嘱与每次执行分层；无资料不填剂量频次疗程或疗效。</w:t>
      </w:r>
    </w:p>
    <w:p>
      <w:pPr>
        <w:keepNext/>
        <w:spacing w:after="100"/>
      </w:pPr>
      <w:r>
        <w:rPr>
          <w:rFonts w:ascii="Arial" w:hAnsi="Arial" w:eastAsia="宋体"/>
          <w:b w:val="0"/>
          <w:color w:val="000000"/>
          <w:sz w:val="22"/>
        </w:rPr>
        <w:t>【日期时间】 系统抗病毒药调整病程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50" w:name="b50"/>
      <w:pPr>
        <w:pStyle w:val="Heading2"/>
      </w:pPr>
      <w:r>
        <w:t>免疫抑制剂</w:t>
      </w:r>
      <w:bookmarkEnd w:id="50"/>
    </w:p>
    <w:p>
      <w:pPr>
        <w:spacing w:after="100"/>
      </w:pPr>
      <w:r>
        <w:rPr>
          <w:rFonts w:ascii="Arial" w:hAnsi="Arial" w:eastAsia="宋体"/>
          <w:b w:val="0"/>
          <w:color w:val="000000"/>
          <w:sz w:val="22"/>
        </w:rPr>
        <w:t>适用条件：存在对应诊断依据及实际医师治疗意图。必要资料：具体药物血细胞肝肾血压及感染筛查。决策和风险：甲氨蝶呤周剂量与每日用法须重点防错，不能自动停复。检查结果、计划、医嘱与每次执行分层；无资料不填剂量频次疗程或疗效。</w:t>
      </w:r>
    </w:p>
    <w:p>
      <w:pPr>
        <w:keepNext/>
        <w:spacing w:after="100"/>
      </w:pPr>
      <w:r>
        <w:rPr>
          <w:rFonts w:ascii="Arial" w:hAnsi="Arial" w:eastAsia="宋体"/>
          <w:b w:val="0"/>
          <w:color w:val="000000"/>
          <w:sz w:val="22"/>
        </w:rPr>
        <w:t>【日期时间】 免疫抑制剂调整病程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53" w:name="b53"/>
      <w:pPr>
        <w:pStyle w:val="Heading2"/>
      </w:pPr>
      <w:r>
        <w:t>维A酸类</w:t>
      </w:r>
      <w:bookmarkEnd w:id="53"/>
    </w:p>
    <w:p>
      <w:pPr>
        <w:spacing w:after="100"/>
      </w:pPr>
      <w:r>
        <w:rPr>
          <w:rFonts w:ascii="Arial" w:hAnsi="Arial" w:eastAsia="宋体"/>
          <w:b w:val="0"/>
          <w:color w:val="000000"/>
          <w:sz w:val="22"/>
        </w:rPr>
        <w:t>适用条件：存在对应诊断依据及实际医师治疗意图。必要资料：具体分子、妊娠生育风险、血脂肝功能及联合用药。决策和风险：不同药物停药后避孕期限不同，须核当前说明书，不统一填写。检查结果、计划、医嘱与每次执行分层；无资料不填剂量频次疗程或疗效。</w:t>
      </w:r>
    </w:p>
    <w:p>
      <w:pPr>
        <w:keepNext/>
        <w:spacing w:after="100"/>
      </w:pPr>
      <w:r>
        <w:rPr>
          <w:rFonts w:ascii="Arial" w:hAnsi="Arial" w:eastAsia="宋体"/>
          <w:b w:val="0"/>
          <w:color w:val="000000"/>
          <w:sz w:val="22"/>
        </w:rPr>
        <w:t>【日期时间】 维A酸类调整病程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56" w:name="b56"/>
      <w:pPr>
        <w:pStyle w:val="Heading2"/>
      </w:pPr>
      <w:r>
        <w:t>传统银屑病系统药</w:t>
      </w:r>
      <w:bookmarkEnd w:id="56"/>
    </w:p>
    <w:p>
      <w:pPr>
        <w:spacing w:after="100"/>
      </w:pPr>
      <w:r>
        <w:rPr>
          <w:rFonts w:ascii="Arial" w:hAnsi="Arial" w:eastAsia="宋体"/>
          <w:b w:val="0"/>
          <w:color w:val="000000"/>
          <w:sz w:val="22"/>
        </w:rPr>
        <w:t>适用条件：存在对应诊断依据及实际医师治疗意图。必要资料：具体适应证、既往疗效、肝肾血压生育及并药。决策和风险：甲氨蝶呤环孢素阿维A风险分开，不按病名自动开立。检查结果、计划、医嘱与每次执行分层；无资料不填剂量频次疗程或疗效。</w:t>
      </w:r>
    </w:p>
    <w:p>
      <w:pPr>
        <w:keepNext/>
        <w:spacing w:after="100"/>
      </w:pPr>
      <w:r>
        <w:rPr>
          <w:rFonts w:ascii="Arial" w:hAnsi="Arial" w:eastAsia="宋体"/>
          <w:b w:val="0"/>
          <w:color w:val="000000"/>
          <w:sz w:val="22"/>
        </w:rPr>
        <w:t>【日期时间】 传统银屑病系统药调整病程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59" w:name="b59"/>
      <w:pPr>
        <w:pStyle w:val="Heading2"/>
      </w:pPr>
      <w:r>
        <w:t>生物制剂</w:t>
      </w:r>
      <w:bookmarkEnd w:id="59"/>
    </w:p>
    <w:p>
      <w:pPr>
        <w:spacing w:after="100"/>
      </w:pPr>
      <w:r>
        <w:rPr>
          <w:rFonts w:ascii="Arial" w:hAnsi="Arial" w:eastAsia="宋体"/>
          <w:b w:val="0"/>
          <w:color w:val="000000"/>
          <w:sz w:val="22"/>
        </w:rPr>
        <w:t>适用条件：存在对应诊断依据及实际医师治疗意图。必要资料：疾病年龄批准、感染TB HBV按药、疫苗及既往疗效。决策和风险：药名决定筛查和监测，不把一次阴性当终身安全。检查结果、计划、医嘱与每次执行分层；无资料不填剂量频次疗程或疗效。</w:t>
      </w:r>
    </w:p>
    <w:p>
      <w:pPr>
        <w:keepNext/>
        <w:spacing w:after="100"/>
      </w:pPr>
      <w:r>
        <w:rPr>
          <w:rFonts w:ascii="Arial" w:hAnsi="Arial" w:eastAsia="宋体"/>
          <w:b w:val="0"/>
          <w:color w:val="000000"/>
          <w:sz w:val="22"/>
        </w:rPr>
        <w:t>【日期时间】 生物制剂调整病程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62" w:name="b62"/>
      <w:pPr>
        <w:pStyle w:val="Heading2"/>
      </w:pPr>
      <w:r>
        <w:t>JAK抑制剂</w:t>
      </w:r>
      <w:bookmarkEnd w:id="62"/>
    </w:p>
    <w:p>
      <w:pPr>
        <w:spacing w:after="100"/>
      </w:pPr>
      <w:r>
        <w:rPr>
          <w:rFonts w:ascii="Arial" w:hAnsi="Arial" w:eastAsia="宋体"/>
          <w:b w:val="0"/>
          <w:color w:val="000000"/>
          <w:sz w:val="22"/>
        </w:rPr>
        <w:t>适用条件：存在对应诊断依据及实际医师治疗意图。必要资料：具体药物适应证年龄、感染血常规肝肾血脂及个体风险。决策和风险：血栓、心血管、肿瘤及带状疱疹等按药物和个体评估，不宣称均已发生。检查结果、计划、医嘱与每次执行分层；无资料不填剂量频次疗程或疗效。</w:t>
      </w:r>
    </w:p>
    <w:p>
      <w:pPr>
        <w:keepNext/>
        <w:spacing w:after="100"/>
      </w:pPr>
      <w:r>
        <w:rPr>
          <w:rFonts w:ascii="Arial" w:hAnsi="Arial" w:eastAsia="宋体"/>
          <w:b w:val="0"/>
          <w:color w:val="000000"/>
          <w:sz w:val="22"/>
        </w:rPr>
        <w:t>【日期时间】 JAK抑制剂调整病程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65" w:name="b65"/>
      <w:pPr>
        <w:pStyle w:val="Heading2"/>
      </w:pPr>
      <w:r>
        <w:t>其他靶向药物</w:t>
      </w:r>
      <w:bookmarkEnd w:id="65"/>
    </w:p>
    <w:p>
      <w:pPr>
        <w:spacing w:after="100"/>
      </w:pPr>
      <w:r>
        <w:rPr>
          <w:rFonts w:ascii="Arial" w:hAnsi="Arial" w:eastAsia="宋体"/>
          <w:b w:val="0"/>
          <w:color w:val="000000"/>
          <w:sz w:val="22"/>
        </w:rPr>
        <w:t>适用条件：存在对应诊断依据及实际医师治疗意图。必要资料：靶点TYK2 PDE4 IL36等具体药品及批准。决策和风险：不得统称JAK；方案与监测按实际药品。检查结果、计划、医嘱与每次执行分层；无资料不填剂量频次疗程或疗效。</w:t>
      </w:r>
    </w:p>
    <w:p>
      <w:pPr>
        <w:keepNext/>
        <w:spacing w:after="100"/>
      </w:pPr>
      <w:r>
        <w:rPr>
          <w:rFonts w:ascii="Arial" w:hAnsi="Arial" w:eastAsia="宋体"/>
          <w:b w:val="0"/>
          <w:color w:val="000000"/>
          <w:sz w:val="22"/>
        </w:rPr>
        <w:t>【日期时间】 其他靶向药物调整病程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病情及真实证据】，医师确认【药品通用名剂型、部位途径及真实方案】拟【开始调整暂停停用恢复】，理由【疗效安全或其他】，当前医嘱【实际状态】，实际执行【时间记录或未证实】，监测【本药特异项目及确认复查安排】。</w:t>
      </w:r>
    </w:p>
    <w:p>
      <w:pPr>
        <w:spacing w:after="140"/>
      </w:pPr>
      <w:r>
        <w:rPr>
          <w:rFonts w:ascii="Arial" w:hAnsi="Arial" w:eastAsia="宋体"/>
          <w:b w:val="0"/>
          <w:color w:val="000000"/>
          <w:sz w:val="22"/>
        </w:rPr>
        <w:t>```</w:t>
      </w:r>
    </w:p>
    <w:p>
      <w:bookmarkStart w:id="68" w:name="b68"/>
      <w:pPr>
        <w:pStyle w:val="Heading1"/>
      </w:pPr>
      <w:r>
        <w:t>筛查与监测闭环</w:t>
      </w:r>
      <w:bookmarkEnd w:id="68"/>
    </w:p>
    <w:p>
      <w:pPr>
        <w:spacing w:after="100"/>
      </w:pPr>
      <w:r>
        <w:rPr>
          <w:rFonts w:ascii="Arial" w:hAnsi="Arial" w:eastAsia="宋体"/>
          <w:b w:val="0"/>
          <w:color w:val="000000"/>
          <w:sz w:val="22"/>
        </w:rPr>
        <w:t>肝功能、肾功能、血常规、感染筛查、结核、HBV等根据具体药物病种和病史选择，记录采样方法结果日期和处置，不统一造全阴性。HBsAg、抗HBc等与必要HBV DNA由相关专科解读。妊娠哺乳生育计划需真实来源；维A酸妊娠预防项目逐药核。免疫抑制的疫苗、感染、不良反应及并药相互作用由医师药师按当前说明书审查。</w:t>
      </w:r>
    </w:p>
    <w:p>
      <w:bookmarkStart w:id="70" w:name="b70"/>
      <w:pPr>
        <w:pStyle w:val="Heading1"/>
      </w:pPr>
      <w:r>
        <w:t>治疗反应与暂停恢复</w:t>
      </w:r>
      <w:bookmarkEnd w:id="70"/>
    </w:p>
    <w:p>
      <w:pPr>
        <w:spacing w:after="100"/>
      </w:pPr>
      <w:r>
        <w:rPr>
          <w:rFonts w:ascii="Arial" w:hAnsi="Arial" w:eastAsia="宋体"/>
          <w:b w:val="0"/>
          <w:color w:val="000000"/>
          <w:sz w:val="22"/>
        </w:rPr>
        <w:t>疗效以同病灶实查、症状量表及同条件影像为依据，不把已给药等同有效。恶化先鉴别诊断、依从、剂量实际执行、感染和不良反应。暂停不能自动恢复原剂量；停用后旧医嘱不得进入出院带药。发生重大不良反应联合06及09。</w:t>
      </w:r>
    </w:p>
    <w:p>
      <w:bookmarkStart w:id="72" w:name="b72"/>
      <w:pPr>
        <w:pStyle w:val="Heading1"/>
      </w:pPr>
      <w:r>
        <w:t>真实性限制 常见错误与质控</w:t>
      </w:r>
      <w:bookmarkEnd w:id="72"/>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75" w:name="b75"/>
      <w:pPr>
        <w:pStyle w:val="Heading1"/>
      </w:pPr>
      <w:r>
        <w:t>模块协同与版本维护</w:t>
      </w:r>
      <w:bookmarkEnd w:id="75"/>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78" w:name="b78"/>
      <w:pPr>
        <w:pStyle w:val="Heading1"/>
      </w:pPr>
      <w:r>
        <w:t>参考指南及核验范围</w:t>
      </w:r>
      <w:bookmarkEnd w:id="78"/>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R31 中国银屑病生物制剂及小分子药物治疗指南（2024版）。发布机构：中华医学会皮肤性病学分会及中国医师协会皮肤科医师分会相关专家；年份或版本：2024；适用：银屑病靶向治疗应用及筛查监测；核验日期：2026-10-30。核验结果：原刊影印件可检索，中华皮肤科杂志57卷11期；具体药品当前批准范围须另核，不能把历史推荐当现行说明书。</w:t>
      </w:r>
    </w:p>
    <w:p>
      <w:pPr>
        <w:spacing w:after="100"/>
      </w:pPr>
      <w:r>
        <w:rPr>
          <w:rFonts w:ascii="Arial" w:hAnsi="Arial" w:eastAsia="宋体"/>
          <w:b w:val="0"/>
          <w:color w:val="000000"/>
          <w:sz w:val="22"/>
        </w:rPr>
        <w:t>https:/​/​xa3yuanlib.yuntsg.com/​ueditor/​jsp/​upload/​file/​20251204/​1764838077016038465.pdf</w:t>
      </w:r>
    </w:p>
    <w:p>
      <w:pPr>
        <w:spacing w:after="100"/>
      </w:pPr>
      <w:r>
        <w:rPr>
          <w:rFonts w:ascii="Arial" w:hAnsi="Arial" w:eastAsia="宋体"/>
          <w:b w:val="0"/>
          <w:color w:val="000000"/>
          <w:sz w:val="22"/>
        </w:rPr>
        <w:t>R04 中国银屑病诊疗指南（2023版）。发布机构：中华医学会皮肤性病学分会银屑病专业委员会；年份或版本：2023；适用：银屑病诊断分型及治疗；核验日期：2026-10-30。核验结果：医学会分会正式发布页及原刊影印件可检索；用于框架，未逐条录入推荐等级。</w:t>
      </w:r>
    </w:p>
    <w:p>
      <w:pPr>
        <w:spacing w:after="100"/>
      </w:pPr>
      <w:r>
        <w:rPr>
          <w:rFonts w:ascii="Arial" w:hAnsi="Arial" w:eastAsia="宋体"/>
          <w:b w:val="0"/>
          <w:color w:val="000000"/>
          <w:sz w:val="22"/>
        </w:rPr>
        <w:t>https:/​/​www.jsma.net.cn/​cn/​zwh/​content.aspx?committeeId=83&amp;oid=63261</w:t>
      </w:r>
    </w:p>
    <w:p>
      <w:pPr>
        <w:spacing w:after="100"/>
      </w:pPr>
      <w:r>
        <w:rPr>
          <w:rFonts w:ascii="Arial" w:hAnsi="Arial" w:eastAsia="宋体"/>
          <w:b w:val="0"/>
          <w:color w:val="000000"/>
          <w:sz w:val="22"/>
        </w:rPr>
        <w:t>R10 EuroGuiDerm Guideline on Atopic Eczema Version 4.1。发布机构：European Dermatology Forum EuroGuiDerm；年份或版本：2026年4月；适用：成人及儿童特应性湿疹系统治疗，须结合中国批准范围；核验日期：2026-10-30。核验结果：官方Living页面明确April 2026和PDF v4.1；不作为中国药品批准证明。</w:t>
      </w:r>
    </w:p>
    <w:p>
      <w:pPr>
        <w:spacing w:after="100"/>
      </w:pPr>
      <w:r>
        <w:rPr>
          <w:rFonts w:ascii="Arial" w:hAnsi="Arial" w:eastAsia="宋体"/>
          <w:b w:val="0"/>
          <w:color w:val="000000"/>
          <w:sz w:val="22"/>
        </w:rPr>
        <w:t>https:/​/​www.guidelines.edf.one/​guidelines/​atopic-ezcema</w:t>
      </w:r>
    </w:p>
    <w:p>
      <w:pPr>
        <w:spacing w:after="100"/>
      </w:pPr>
      <w:r>
        <w:rPr>
          <w:rFonts w:ascii="Arial" w:hAnsi="Arial" w:eastAsia="宋体"/>
          <w:b w:val="0"/>
          <w:color w:val="000000"/>
          <w:sz w:val="22"/>
        </w:rPr>
        <w:t>R29 免疫检查点抑制剂相关皮肤不良反应诊治中国专家共识（2024版）。发布机构：中华医学会皮肤性病学分会等联合专家组；年份或版本：2024；适用：免疫治疗皮肤不良反应；核验日期：2026-10-30。核验结果：原论文摘要及出版信息可见。</w:t>
      </w:r>
    </w:p>
    <w:p>
      <w:pPr>
        <w:spacing w:after="100"/>
      </w:pPr>
      <w:r>
        <w:rPr>
          <w:rFonts w:ascii="Arial" w:hAnsi="Arial" w:eastAsia="宋体"/>
          <w:b w:val="0"/>
          <w:color w:val="000000"/>
          <w:sz w:val="22"/>
        </w:rPr>
        <w:t>https:/​/​pubmed.ncbi.nlm.nih.gov/​38782747/​</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bookmarkStart w:id="90" w:name="b90"/>
      <w:pPr>
        <w:pStyle w:val="Heading1"/>
      </w:pPr>
      <w:r>
        <w:t>虚构病例示例</w:t>
      </w:r>
      <w:bookmarkEnd w:id="90"/>
    </w:p>
    <w:p>
      <w:pPr>
        <w:spacing w:after="100"/>
      </w:pPr>
      <w:r>
        <w:rPr>
          <w:rFonts w:ascii="Arial" w:hAnsi="Arial" w:eastAsia="宋体"/>
          <w:b w:val="0"/>
          <w:color w:val="000000"/>
          <w:sz w:val="22"/>
        </w:rPr>
        <w:t>以下病例完全虚构，仅供规则演示，不得导入真实病例。患者TEST07、住院E01，日期2026年10月30日，事实限定如下。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患者银屑病拟使用生物制剂，现有资料仅见医师讨论记录，尚未提供筛查结果、正式医嘱或注射执行。当前治疗状态为拟定，不能写已完成首针或治疗后皮损改善。</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07_皮肤科外用系统治疗生物制剂及医嘱表达规则库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