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08 皮肤科三级医师查房决策与层级表达模板库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08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本模块涵盖三级医师查房决策与层级表达模板库。使用时先核患者及本次住院、真实证据与执行状态，再按任务读取相关章节。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4">
        <w:r>
          <w:rPr>
            <w:sz w:val="20"/>
          </w:rPr>
          <w:t>正式医学文书输出规范</w:t>
        </w:r>
      </w:hyperlink>
    </w:p>
    <w:p>
      <w:pPr>
        <w:spacing w:after="40"/>
        <w:ind w:left="0"/>
      </w:pPr>
      <w:hyperlink w:anchor="b7">
        <w:r>
          <w:rPr>
            <w:sz w:val="20"/>
          </w:rPr>
          <w:t>层级分工</w:t>
        </w:r>
      </w:hyperlink>
    </w:p>
    <w:p>
      <w:pPr>
        <w:spacing w:after="40"/>
        <w:ind w:left="230"/>
      </w:pPr>
      <w:hyperlink w:anchor="b9">
        <w:r>
          <w:rPr>
            <w:sz w:val="20"/>
          </w:rPr>
          <w:t>湿疹首次查房</w:t>
        </w:r>
      </w:hyperlink>
    </w:p>
    <w:p>
      <w:pPr>
        <w:spacing w:after="40"/>
        <w:ind w:left="230"/>
      </w:pPr>
      <w:hyperlink w:anchor="b16">
        <w:r>
          <w:rPr>
            <w:sz w:val="20"/>
          </w:rPr>
          <w:t>特应性皮炎查房</w:t>
        </w:r>
      </w:hyperlink>
    </w:p>
    <w:p>
      <w:pPr>
        <w:spacing w:after="40"/>
        <w:ind w:left="230"/>
      </w:pPr>
      <w:hyperlink w:anchor="b23">
        <w:r>
          <w:rPr>
            <w:sz w:val="20"/>
          </w:rPr>
          <w:t>接触性皮炎查房</w:t>
        </w:r>
      </w:hyperlink>
    </w:p>
    <w:p>
      <w:pPr>
        <w:spacing w:after="40"/>
        <w:ind w:left="230"/>
      </w:pPr>
      <w:hyperlink w:anchor="b30">
        <w:r>
          <w:rPr>
            <w:sz w:val="20"/>
          </w:rPr>
          <w:t>慢性荨麻疹查房</w:t>
        </w:r>
      </w:hyperlink>
    </w:p>
    <w:p>
      <w:pPr>
        <w:spacing w:after="40"/>
        <w:ind w:left="230"/>
      </w:pPr>
      <w:hyperlink w:anchor="b37">
        <w:r>
          <w:rPr>
            <w:sz w:val="20"/>
          </w:rPr>
          <w:t>银屑病首次查房</w:t>
        </w:r>
      </w:hyperlink>
    </w:p>
    <w:p>
      <w:pPr>
        <w:spacing w:after="40"/>
        <w:ind w:left="230"/>
      </w:pPr>
      <w:hyperlink w:anchor="b44">
        <w:r>
          <w:rPr>
            <w:sz w:val="20"/>
          </w:rPr>
          <w:t>银屑病治疗调整查房</w:t>
        </w:r>
      </w:hyperlink>
    </w:p>
    <w:p>
      <w:pPr>
        <w:spacing w:after="40"/>
        <w:ind w:left="230"/>
      </w:pPr>
      <w:hyperlink w:anchor="b51">
        <w:r>
          <w:rPr>
            <w:sz w:val="20"/>
          </w:rPr>
          <w:t>脓疱型银屑病查房</w:t>
        </w:r>
      </w:hyperlink>
    </w:p>
    <w:p>
      <w:pPr>
        <w:spacing w:after="40"/>
        <w:ind w:left="230"/>
      </w:pPr>
      <w:hyperlink w:anchor="b58">
        <w:r>
          <w:rPr>
            <w:sz w:val="20"/>
          </w:rPr>
          <w:t>真菌感染查房</w:t>
        </w:r>
      </w:hyperlink>
    </w:p>
    <w:p>
      <w:pPr>
        <w:spacing w:after="40"/>
        <w:ind w:left="230"/>
      </w:pPr>
      <w:hyperlink w:anchor="b65">
        <w:r>
          <w:rPr>
            <w:sz w:val="20"/>
          </w:rPr>
          <w:t>严重皮肤感染查房</w:t>
        </w:r>
      </w:hyperlink>
    </w:p>
    <w:p>
      <w:pPr>
        <w:spacing w:after="40"/>
        <w:ind w:left="230"/>
      </w:pPr>
      <w:hyperlink w:anchor="b72">
        <w:r>
          <w:rPr>
            <w:sz w:val="20"/>
          </w:rPr>
          <w:t>带状疱疹查房</w:t>
        </w:r>
      </w:hyperlink>
    </w:p>
    <w:p>
      <w:pPr>
        <w:spacing w:after="40"/>
        <w:ind w:left="230"/>
      </w:pPr>
      <w:hyperlink w:anchor="b79">
        <w:r>
          <w:rPr>
            <w:sz w:val="20"/>
          </w:rPr>
          <w:t>天疱疮查房</w:t>
        </w:r>
      </w:hyperlink>
    </w:p>
    <w:p>
      <w:pPr>
        <w:spacing w:after="40"/>
        <w:ind w:left="230"/>
      </w:pPr>
      <w:hyperlink w:anchor="b86">
        <w:r>
          <w:rPr>
            <w:sz w:val="20"/>
          </w:rPr>
          <w:t>类天疱疮查房</w:t>
        </w:r>
      </w:hyperlink>
    </w:p>
    <w:p>
      <w:pPr>
        <w:spacing w:after="40"/>
        <w:ind w:left="230"/>
      </w:pPr>
      <w:hyperlink w:anchor="b93">
        <w:r>
          <w:rPr>
            <w:sz w:val="20"/>
          </w:rPr>
          <w:t>结缔组织病查房</w:t>
        </w:r>
      </w:hyperlink>
    </w:p>
    <w:p>
      <w:pPr>
        <w:spacing w:after="40"/>
        <w:ind w:left="230"/>
      </w:pPr>
      <w:hyperlink w:anchor="b100">
        <w:r>
          <w:rPr>
            <w:sz w:val="20"/>
          </w:rPr>
          <w:t>红皮病查房</w:t>
        </w:r>
      </w:hyperlink>
    </w:p>
    <w:p>
      <w:pPr>
        <w:spacing w:after="40"/>
        <w:ind w:left="230"/>
      </w:pPr>
      <w:hyperlink w:anchor="b107">
        <w:r>
          <w:rPr>
            <w:sz w:val="20"/>
          </w:rPr>
          <w:t>严重药疹查房</w:t>
        </w:r>
      </w:hyperlink>
    </w:p>
    <w:p>
      <w:pPr>
        <w:spacing w:after="40"/>
        <w:ind w:left="230"/>
      </w:pPr>
      <w:hyperlink w:anchor="b114">
        <w:r>
          <w:rPr>
            <w:sz w:val="20"/>
          </w:rPr>
          <w:t>SJS TEN查房</w:t>
        </w:r>
      </w:hyperlink>
    </w:p>
    <w:p>
      <w:pPr>
        <w:spacing w:after="40"/>
        <w:ind w:left="230"/>
      </w:pPr>
      <w:hyperlink w:anchor="b121">
        <w:r>
          <w:rPr>
            <w:sz w:val="20"/>
          </w:rPr>
          <w:t>肿瘤术前查房</w:t>
        </w:r>
      </w:hyperlink>
    </w:p>
    <w:p>
      <w:pPr>
        <w:spacing w:after="40"/>
        <w:ind w:left="230"/>
      </w:pPr>
      <w:hyperlink w:anchor="b128">
        <w:r>
          <w:rPr>
            <w:sz w:val="20"/>
          </w:rPr>
          <w:t>肿瘤术后查房</w:t>
        </w:r>
      </w:hyperlink>
    </w:p>
    <w:p>
      <w:pPr>
        <w:spacing w:after="40"/>
        <w:ind w:left="230"/>
      </w:pPr>
      <w:hyperlink w:anchor="b135">
        <w:r>
          <w:rPr>
            <w:sz w:val="20"/>
          </w:rPr>
          <w:t>病理回报查房</w:t>
        </w:r>
      </w:hyperlink>
    </w:p>
    <w:p>
      <w:pPr>
        <w:spacing w:after="40"/>
        <w:ind w:left="230"/>
      </w:pPr>
      <w:hyperlink w:anchor="b142">
        <w:r>
          <w:rPr>
            <w:sz w:val="20"/>
          </w:rPr>
          <w:t>痤疮玫瑰痤疮查房</w:t>
        </w:r>
      </w:hyperlink>
    </w:p>
    <w:p>
      <w:pPr>
        <w:spacing w:after="40"/>
        <w:ind w:left="230"/>
      </w:pPr>
      <w:hyperlink w:anchor="b149">
        <w:r>
          <w:rPr>
            <w:sz w:val="20"/>
          </w:rPr>
          <w:t>白癜风色素障碍查房</w:t>
        </w:r>
      </w:hyperlink>
    </w:p>
    <w:p>
      <w:pPr>
        <w:spacing w:after="40"/>
        <w:ind w:left="230"/>
      </w:pPr>
      <w:hyperlink w:anchor="b156">
        <w:r>
          <w:rPr>
            <w:sz w:val="20"/>
          </w:rPr>
          <w:t>性传播感染查房</w:t>
        </w:r>
      </w:hyperlink>
    </w:p>
    <w:p>
      <w:pPr>
        <w:spacing w:after="40"/>
        <w:ind w:left="230"/>
      </w:pPr>
      <w:hyperlink w:anchor="b163">
        <w:r>
          <w:rPr>
            <w:sz w:val="20"/>
          </w:rPr>
          <w:t>生物制剂评估查房</w:t>
        </w:r>
      </w:hyperlink>
    </w:p>
    <w:p>
      <w:pPr>
        <w:spacing w:after="40"/>
        <w:ind w:left="230"/>
      </w:pPr>
      <w:hyperlink w:anchor="b170">
        <w:r>
          <w:rPr>
            <w:sz w:val="20"/>
          </w:rPr>
          <w:t>出院前查房</w:t>
        </w:r>
      </w:hyperlink>
    </w:p>
    <w:p>
      <w:pPr>
        <w:spacing w:after="40"/>
        <w:ind w:left="0"/>
      </w:pPr>
      <w:hyperlink w:anchor="b177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180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183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193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功能定位：24场景中不同决策深度的三级查房。本库服务中国医院普通皮肤病房、重症、皮肤外科、治疗室及皮肤性病临床，由具有权限的医师审核拟稿。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适用场景与自动调用：有真实到场及上级意见的查房任务。必要患者资料：医师姓名职称日期、当日查体报告、实际意见及执行。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bookmarkStart w:id="4" w:name="b4"/>
      <w:pPr>
        <w:pStyle w:val="Heading1"/>
      </w:pPr>
      <w:r>
        <w:t>正式医学文书输出规范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所有正式医学文书正文使用Markdown text代码框。文书日期、时间、标题及医师姓名和职称组成的查房标题均位于代码框外；代码框内只放实际医学文书正文，不重复题头日期标题，不加AI前言、推理过程或无关备注。日常病程及主治、副主任、主任查房正文连续写成完整一整段，不分条、不留空行、不插入多余空格，不因格式遗漏必要内容。入院、首次病程、手术、讨论、抢救和出院等有固定栏目要求的文书可保留必要结构。抢救及用药等临床事件时间属于事实，须在正文保留。正式文书不得出现未替换占位符；关键事实缺失须在框外提示核实并阻断受影响的净稿。禁止出现“根据昨天的病程”“结合前一天的检查”“根据用户上传的图片”“AI分析认为”；历史检查直接注明真实检查日期。本库【字段】均为编写模板变量，虚构病例仅供测试，二者不得导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7" w:name="b7"/>
      <w:pPr>
        <w:pStyle w:val="Heading1"/>
      </w:pPr>
      <w:r>
        <w:t>层级分工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tblHeader/>
        </w:trPr>
        <w:tc>
          <w:tcPr>
            <w:tcW w:type="dxa" w:w="2304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7488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必须体现的分析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主治医师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当日形态症状、执行核对、短期反应、近期观察及调整触发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副主任医师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形态病理临床对应、鉴别、严重度、疗效不佳原因、调整获益风险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主任医师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疑难证据复核、重大策略、免疫及肿瘤治疗权衡、跨科协作和长期预后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9" w:name="b9"/>
      <w:pPr>
        <w:pStyle w:val="Heading2"/>
      </w:pPr>
      <w:r>
        <w:t>湿疹首次查房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主治医师分析重点：渗出形态及接触史。以下必须用该层级真实意见填写，不允许由下级记录推造上级决策。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渗出形态及接触史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副主任医师分析重点：湿疹与癣及接触皮炎鉴别。以下必须用该层级真实意见填写，不允许由下级记录推造上级决策。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湿疹与癣及接触皮炎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主任医师分析重点：病因未明及难治时检查策略。以下必须用该层级真实意见填写，不允许由下级记录推造上级决策。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病因未明及难治时检查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" w:name="b16"/>
      <w:pPr>
        <w:pStyle w:val="Heading2"/>
      </w:pPr>
      <w:r>
        <w:t>特应性皮炎查房</w:t>
      </w:r>
      <w:bookmarkEnd w:id="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主治医师分析重点：瘙痒睡眠和外用执行。以下必须用该层级真实意见填写，不允许由下级记录推造上级决策。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瘙痒睡眠和外用执行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副主任医师分析重点：诊断体系、活动度与继发感染。以下必须用该层级真实意见填写，不允许由下级记录推造上级决策。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诊断体系、活动度与继发感染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主任医师分析重点：难治分层及免疫靶向长期策略。以下必须用该层级真实意见填写，不允许由下级记录推造上级决策。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难治分层及免疫靶向长期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" w:name="b23"/>
      <w:pPr>
        <w:pStyle w:val="Heading2"/>
      </w:pPr>
      <w:r>
        <w:t>接触性皮炎查房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主治医师分析重点：接触范围与停接触变化。以下必须用该层级真实意见填写，不允许由下级记录推造上级决策。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接触范围与停接触变化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副主任医师分析重点：刺激与过敏及斑贴相关性。以下必须用该层级真实意见填写，不允许由下级记录推造上级决策。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刺激与过敏及斑贴相关性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主任医师分析重点：职业及复杂暴露回避与转诊。以下必须用该层级真实意见填写，不允许由下级记录推造上级决策。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职业及复杂暴露回避与转诊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" w:name="b30"/>
      <w:pPr>
        <w:pStyle w:val="Heading2"/>
      </w:pPr>
      <w:r>
        <w:t>慢性荨麻疹查房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主治医师分析重点：风团时长和日记。以下必须用该层级真实意见填写，不允许由下级记录推造上级决策。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风团时长和日记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副主任医师分析重点：UAS7完整性与血管炎鉴别。以下必须用该层级真实意见填写，不允许由下级记录推造上级决策。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UAS7完整性与血管炎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主任医师分析重点：难治方案及机制和长期减量条件。以下必须用该层级真实意见填写，不允许由下级记录推造上级决策。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难治方案及机制和长期减量条件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7" w:name="b37"/>
      <w:pPr>
        <w:pStyle w:val="Heading2"/>
      </w:pPr>
      <w:r>
        <w:t>银屑病首次查房</w:t>
      </w:r>
      <w:bookmarkEnd w:id="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主治医师分析重点：斑块鳞屑及实际范围。以下必须用该层级真实意见填写，不允许由下级记录推造上级决策。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斑块鳞屑及实际范围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副主任医师分析重点：分型及PASI缺口共病。以下必须用该层级真实意见填写，不允许由下级记录推造上级决策。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分型及PASI缺口共病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主任医师分析重点：皮肤关节共病和治疗目标。以下必须用该层级真实意见填写，不允许由下级记录推造上级决策。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皮肤关节共病和治疗目标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4" w:name="b44"/>
      <w:pPr>
        <w:pStyle w:val="Heading2"/>
      </w:pPr>
      <w:r>
        <w:t>银屑病治疗调整查房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主治医师分析重点：真实给药疗效。以下必须用该层级真实意见填写，不允许由下级记录推造上级决策。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真实给药疗效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副主任医师分析重点：失效依从或感染和风险。以下必须用该层级真实意见填写，不允许由下级记录推造上级决策。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失效依从或感染和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主任医师分析重点：转换方案条件及长期安全。以下必须用该层级真实意见填写，不允许由下级记录推造上级决策。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转换方案条件及长期安全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1" w:name="b51"/>
      <w:pPr>
        <w:pStyle w:val="Heading2"/>
      </w:pPr>
      <w:r>
        <w:t>脓疱型银屑病查房</w:t>
      </w:r>
      <w:bookmarkEnd w:id="5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主治医师分析重点：新脓疱和全身指标。以下必须用该层级真实意见填写，不允许由下级记录推造上级决策。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新脓疱和全身指标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副主任医师分析重点：AGEP及感染鉴别。以下必须用该层级真实意见填写，不允许由下级记录推造上级决策。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AGEP及感染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主任医师分析重点：危重协作与快速控炎策略。以下必须用该层级真实意见填写，不允许由下级记录推造上级决策。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危重协作与快速控炎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8" w:name="b58"/>
      <w:pPr>
        <w:pStyle w:val="Heading2"/>
      </w:pPr>
      <w:r>
        <w:t>真菌感染查房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主治医师分析重点：部位取材和外用执行。以下必须用该层级真实意见填写，不允许由下级记录推造上级决策。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部位取材和外用执行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副主任医师分析重点：镜检培养意义及污染。以下必须用该层级真实意见填写，不允许由下级记录推造上级决策。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镜检培养意义及污染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主任医师分析重点：复杂病原耐药或免疫背景策略。以下必须用该层级真实意见填写，不允许由下级记录推造上级决策。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复杂病原耐药或免疫背景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65" w:name="b65"/>
      <w:pPr>
        <w:pStyle w:val="Heading2"/>
      </w:pPr>
      <w:r>
        <w:t>严重皮肤感染查房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主治医师分析重点：边界疼痛体温与执行。以下必须用该层级真实意见填写，不允许由下级记录推造上级决策。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边界疼痛体温与执行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副主任医师分析重点：病原严重度和深部风险。以下必须用该层级真实意见填写，不允许由下级记录推造上级决策。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病原严重度和深部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主任医师分析重点：外科感染重症协作时点。以下必须用该层级真实意见填写，不允许由下级记录推造上级决策。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外科感染重症协作时点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2" w:name="b72"/>
      <w:pPr>
        <w:pStyle w:val="Heading2"/>
      </w:pPr>
      <w:r>
        <w:t>带状疱疹查房</w:t>
      </w:r>
      <w:bookmarkEnd w:id="7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主治医师分析重点：疱新发和疼痛。以下必须用该层级真实意见填写，不允许由下级记录推造上级决策。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疱新发和疼痛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副主任医师分析重点：眼耳播散与免疫风险。以下必须用该层级真实意见填写，不允许由下级记录推造上级决策。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眼耳播散与免疫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主任医师分析重点：复杂神经及长期疼痛协作。以下必须用该层级真实意见填写，不允许由下级记录推造上级决策。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复杂神经及长期疼痛协作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9" w:name="b79"/>
      <w:pPr>
        <w:pStyle w:val="Heading2"/>
      </w:pPr>
      <w:r>
        <w:t>天疱疮查房</w:t>
      </w:r>
      <w:bookmarkEnd w:id="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主治医师分析重点：新疱黏膜进食。以下必须用该层级真实意见填写，不允许由下级记录推造上级决策。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新疱黏膜进食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副主任医师分析重点：HE DIF Dsg对应及感染。以下必须用该层级真实意见填写，不允许由下级记录推造上级决策。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今日随【医师姓名】副主任医师查房，患者诉【当日真实症状】。查体【今日部位形态黏膜及相关全身实查】，辅助检查【检查实际日期及当前可知结果】。副主任医师分析【HE DIF Dsg对应及感染的真实判断及依据】，目前【实际药物或操作状态】，拟【明确的后续条件、监测和决策】。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主任医师分析重点：免疫方案重大风险与长期控制。以下必须用该层级真实意见填写，不允许由下级记录推造上级决策。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免疫方案重大风险与长期控制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86" w:name="b86"/>
      <w:pPr>
        <w:pStyle w:val="Heading2"/>
      </w:pPr>
      <w:r>
        <w:t>类天疱疮查房</w:t>
      </w:r>
      <w:bookmarkEnd w:id="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主治医师分析重点：新疱瘙痒和护理。以下必须用该层级真实意见填写，不允许由下级记录推造上级决策。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新疱瘙痒和护理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副主任医师分析重点：抗体病理及分型。以下必须用该层级真实意见填写，不允许由下级记录推造上级决策。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抗体病理及分型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主任医师分析重点：老年共病与激素节约策略。以下必须用该层级真实意见填写，不允许由下级记录推造上级决策。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老年共病与激素节约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93" w:name="b93"/>
      <w:pPr>
        <w:pStyle w:val="Heading2"/>
      </w:pPr>
      <w:r>
        <w:t>结缔组织病查房</w:t>
      </w:r>
      <w:bookmarkEnd w:id="9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主治医师分析重点：皮损及系统症状。以下必须用该层级真实意见填写，不允许由下级记录推造上级决策。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皮损及系统症状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副主任医师分析重点：抗体病理和器官鉴别。以下必须用该层级真实意见填写，不允许由下级记录推造上级决策。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抗体病理和器官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主任医师分析重点：跨科系统风险及长期预后。以下必须用该层级真实意见填写，不允许由下级记录推造上级决策。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跨科系统风险及长期预后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0" w:name="b100"/>
      <w:pPr>
        <w:pStyle w:val="Heading2"/>
      </w:pPr>
      <w:r>
        <w:t>红皮病查房</w:t>
      </w:r>
      <w:bookmarkEnd w:id="10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主治医师分析重点：脱屑渗液体温液体。以下必须用该层级真实意见填写，不允许由下级记录推造上级决策。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脱屑渗液体温液体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副主任医师分析重点：病因和感染营养。以下必须用该层级真实意见填写，不允许由下级记录推造上级决策。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病因和感染营养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主任医师分析重点：危重病因重评及复发策略。以下必须用该层级真实意见填写，不允许由下级记录推造上级决策。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危重病因重评及复发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7" w:name="b107"/>
      <w:pPr>
        <w:pStyle w:val="Heading2"/>
      </w:pPr>
      <w:r>
        <w:t>严重药疹查房</w:t>
      </w:r>
      <w:bookmarkEnd w:id="10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主治医师分析重点：暴露停变时间和实查。以下必须用该层级真实意见填写，不允许由下级记录推造上级决策。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暴露停变时间和实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副主任医师分析重点：表型及因果和器官受累。以下必须用该层级真实意见填写，不允许由下级记录推造上级决策。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表型及因果和器官受累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主任医师分析重点：重大控炎风险与多科整合。以下必须用该层级真实意见填写，不允许由下级记录推造上级决策。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重大控炎风险与多科整合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4" w:name="b114"/>
      <w:pPr>
        <w:pStyle w:val="Heading2"/>
      </w:pPr>
      <w:r>
        <w:t>SJS TEN查房</w:t>
      </w:r>
      <w:bookmarkEnd w:id="1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主治医师分析重点：剥脱黏膜及生命体征。以下必须用该层级真实意见填写，不允许由下级记录推造上级决策。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剥脱黏膜及生命体征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副主任医师分析重点：分型与SCORTEN变量。以下必须用该层级真实意见填写，不允许由下级记录推造上级决策。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分型与SCORTEN变量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主任医师分析重点：眼气道及重症救治长期后遗。以下必须用该层级真实意见填写，不允许由下级记录推造上级决策。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眼气道及重症救治长期后遗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1" w:name="b121"/>
      <w:pPr>
        <w:pStyle w:val="Heading2"/>
      </w:pPr>
      <w:r>
        <w:t>肿瘤术前查房</w:t>
      </w:r>
      <w:bookmarkEnd w:id="1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主治医师分析重点：病灶部位及准备。以下必须用该层级真实意见填写，不允许由下级记录推造上级决策。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病灶部位及准备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副主任医师分析重点：病理确定度与手术风险。以下必须用该层级真实意见填写，不允许由下级记录推造上级决策。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病理确定度与手术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主任医师分析重点：切除修复分期总体策略。以下必须用该层级真实意见填写，不允许由下级记录推造上级决策。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切除修复分期总体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8" w:name="b128"/>
      <w:pPr>
        <w:pStyle w:val="Heading2"/>
      </w:pPr>
      <w:r>
        <w:t>肿瘤术后查房</w:t>
      </w:r>
      <w:bookmarkEnd w:id="1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主治医师分析重点：切口及实际操作。以下必须用该层级真实意见填写，不允许由下级记录推造上级决策。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切口及实际操作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副主任医师分析重点：切缘和病理后续。以下必须用该层级真实意见填写，不允许由下级记录推造上级决策。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切缘和病理后续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主任医师分析重点：进一步治疗和复发随访。以下必须用该层级真实意见填写，不允许由下级记录推造上级决策。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进一步治疗和复发随访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5" w:name="b135"/>
      <w:pPr>
        <w:pStyle w:val="Heading2"/>
      </w:pPr>
      <w:r>
        <w:t>病理回报查房</w:t>
      </w:r>
      <w:bookmarkEnd w:id="1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主治医师分析重点：标本部位和结果。以下必须用该层级真实意见填写，不允许由下级记录推造上级决策。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标本部位和结果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副主任医师分析重点：临床病理冲突鉴别。以下必须用该层级真实意见填写，不允许由下级记录推造上级决策。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临床病理冲突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主任医师分析重点：复阅取材及诊断修正策略。以下必须用该层级真实意见填写，不允许由下级记录推造上级决策。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复阅取材及诊断修正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2" w:name="b142"/>
      <w:pPr>
        <w:pStyle w:val="Heading2"/>
      </w:pPr>
      <w:r>
        <w:t>痤疮玫瑰痤疮查房</w:t>
      </w:r>
      <w:bookmarkEnd w:id="1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主治医师分析重点：表型症状执行。以下必须用该层级真实意见填写，不允许由下级记录推造上级决策。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表型症状执行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副主任医师分析重点：分级鉴别及药物风险。以下必须用该层级真实意见填写，不允许由下级记录推造上级决策。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分级鉴别及药物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主任医师分析重点：难治及瘢痕眼部和长期策略。以下必须用该层级真实意见填写，不允许由下级记录推造上级决策。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难治及瘢痕眼部和长期策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9" w:name="b149"/>
      <w:pPr>
        <w:pStyle w:val="Heading2"/>
      </w:pPr>
      <w:r>
        <w:t>白癜风色素障碍查房</w:t>
      </w:r>
      <w:bookmarkEnd w:id="1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主治医师分析重点：新斑和同条件照片。以下必须用该层级真实意见填写，不允许由下级记录推造上级决策。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新斑和同条件照片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副主任医师分析重点：活动度及鉴别。以下必须用该层级真实意见填写，不允许由下级记录推造上级决策。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活动度及鉴别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主任医师分析重点：长期目标和光疗手术条件。以下必须用该层级真实意见填写，不允许由下级记录推造上级决策。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长期目标和光疗手术条件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6" w:name="b156"/>
      <w:pPr>
        <w:pStyle w:val="Heading2"/>
      </w:pPr>
      <w:r>
        <w:t>性传播感染查房</w:t>
      </w:r>
      <w:bookmarkEnd w:id="1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主治医师分析重点：症状与原检测。以下必须用该层级真实意见填写，不允许由下级记录推造上级决策。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症状与原检测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副主任医师分析重点：分期及既往治疗史。以下必须用该层级真实意见填写，不允许由下级记录推造上级决策。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分期及既往治疗史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主任医师分析重点：特殊人群复查及公卫协作。以下必须用该层级真实意见填写，不允许由下级记录推造上级决策。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特殊人群复查及公卫协作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3" w:name="b163"/>
      <w:pPr>
        <w:pStyle w:val="Heading2"/>
      </w:pPr>
      <w:r>
        <w:t>生物制剂评估查房</w:t>
      </w:r>
      <w:bookmarkEnd w:id="16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主治医师分析重点：每针执行和筛查。以下必须用该层级真实意见填写，不允许由下级记录推造上级决策。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每针执行和筛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副主任医师分析重点：疗效与感染不良反应。以下必须用该层级真实意见填写，不允许由下级记录推造上级决策。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疗效与感染不良反应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主任医师分析重点：转换停复及长期获益风险。以下必须用该层级真实意见填写，不允许由下级记录推造上级决策。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转换停复及长期获益风险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0" w:name="b170"/>
      <w:pPr>
        <w:pStyle w:val="Heading2"/>
      </w:pPr>
      <w:r>
        <w:t>出院前查房</w:t>
      </w:r>
      <w:bookmarkEnd w:id="1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主治医师分析重点：当前病情药物创面。以下必须用该层级真实意见填写，不允许由下级记录推造上级决策。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治医师查房，患者诉【当日真实症状】。查体【今日部位形态黏膜及相关全身实查】，辅助检查【检查实际日期及当前可知结果】。主治医师分析【当前病情药物创面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副主任医师分析重点：出院条件与未决问题。以下必须用该层级真实意见填写，不允许由下级记录推造上级决策。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副主任医师查房，患者诉【当日真实症状】。查体【今日部位形态黏膜及相关全身实查】，辅助检查【检查实际日期及当前可知结果】。副主任医师分析【出院条件与未决问题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主任医师分析重点：长期预后和责任交接。以下必须用该层级真实意见填写，不允许由下级记录推造上级决策。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【医师姓名】主任医师查房记录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医师姓名】主任医师查房，患者诉【当日真实症状】。查体【今日部位形态黏膜及相关全身实查】，辅助检查【检查实际日期及当前可知结果】。主任医师分析【长期预后和责任交接的真实判断及依据】，目前【实际药物或操作状态】，拟【明确的后续条件、监测和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7" w:name="b177"/>
      <w:pPr>
        <w:pStyle w:val="Heading1"/>
      </w:pPr>
      <w:r>
        <w:t>真实性限制 常见错误与质控</w:t>
      </w:r>
      <w:bookmarkEnd w:id="17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180" w:name="b180"/>
      <w:pPr>
        <w:pStyle w:val="Heading1"/>
      </w:pPr>
      <w:r>
        <w:t>模块协同与版本维护</w:t>
      </w:r>
      <w:bookmarkEnd w:id="18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183" w:name="b183"/>
      <w:pPr>
        <w:pStyle w:val="Heading1"/>
      </w:pPr>
      <w:r>
        <w:t>参考指南及核验范围</w:t>
      </w:r>
      <w:bookmarkEnd w:id="18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员会；年份或版本：2018；适用：查房、疑难讨论、抢救与手术安全；核验日期：2026-10-30。核验结果：官方解读及发布信息可见；院内具体频次须结合有效制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https:/​/​www.nhc.gov.cn/​zwgk/​jdjd/​201804/​5dfb30387c74412194c7f05b878d4f87.shtml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R04 中国银屑病诊疗指南（2023版）。发布机构：中华医学会皮肤性病学分会银屑病专业委员会；年份或版本：2023；适用：银屑病诊断分型及治疗；核验日期：2026-10-30。核验结果：医学会分会正式发布页及原刊影印件可检索；用于框架，未逐条录入推荐等级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https:/​/​www.jsma.net.cn/​cn/​zwh/​content.aspx?committeeId=83&amp;oid=63261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R05 中国天疱疮诊疗指南（2024版）。发布机构：中国医师协会皮肤科医师分会等五个学术组织；年份或版本：2024；适用：天疱疮临床病理及免疫整合；核验日期：2026-10-30。核验结果：原刊影印件及期刊目录核对；中华皮肤科杂志57卷10期873至886页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https:/​/​doi.org/​10.35541/​cjd.20240222</w:t>
      </w:r>
    </w:p>
    <w:p>
      <w:bookmarkStart w:id="193" w:name="b193"/>
      <w:pPr>
        <w:pStyle w:val="Heading1"/>
      </w:pPr>
      <w:r>
        <w:t>虚构病例示例</w:t>
      </w:r>
      <w:bookmarkEnd w:id="19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以下病例完全虚构，仅供规则演示，不得导入真实病例。患者TEST08、住院E01，日期2026年10月30日，事实限定如下。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测试甲主治医师查房，患者诉右前臂瘙痒减轻。今日实查局部红斑丘疹仍在，未提供新的检验。主治医师提出先核对外用执行并观察渗出及新发皮损；现有记录仅证实昨日保湿已执行，后续治疗需按实际医嘱记录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08_皮肤科三级医师查房决策与层级表达模板库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