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09 皮肤科创面护理慢病管理出院及长期随访模板库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09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本模块涵盖创面护理慢病管理出院及长期随访模板库。使用时先核患者及本次住院、真实证据与执行状态，再按任务读取相关章节。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230"/>
      </w:pPr>
      <w:hyperlink w:anchor="b6">
        <w:r>
          <w:rPr>
            <w:sz w:val="20"/>
          </w:rPr>
          <w:t>屏障修复清洁保湿外用</w:t>
        </w:r>
      </w:hyperlink>
    </w:p>
    <w:p>
      <w:pPr>
        <w:spacing w:after="40"/>
        <w:ind w:left="230"/>
      </w:pPr>
      <w:hyperlink w:anchor="b9">
        <w:r>
          <w:rPr>
            <w:sz w:val="20"/>
          </w:rPr>
          <w:t>湿疹及AD</w:t>
        </w:r>
      </w:hyperlink>
    </w:p>
    <w:p>
      <w:pPr>
        <w:spacing w:after="40"/>
        <w:ind w:left="230"/>
      </w:pPr>
      <w:hyperlink w:anchor="b12">
        <w:r>
          <w:rPr>
            <w:sz w:val="20"/>
          </w:rPr>
          <w:t>银屑病</w:t>
        </w:r>
      </w:hyperlink>
    </w:p>
    <w:p>
      <w:pPr>
        <w:spacing w:after="40"/>
        <w:ind w:left="230"/>
      </w:pPr>
      <w:hyperlink w:anchor="b15">
        <w:r>
          <w:rPr>
            <w:sz w:val="20"/>
          </w:rPr>
          <w:t>荨麻疹</w:t>
        </w:r>
      </w:hyperlink>
    </w:p>
    <w:p>
      <w:pPr>
        <w:spacing w:after="40"/>
        <w:ind w:left="230"/>
      </w:pPr>
      <w:hyperlink w:anchor="b18">
        <w:r>
          <w:rPr>
            <w:sz w:val="20"/>
          </w:rPr>
          <w:t>感染恢复期</w:t>
        </w:r>
      </w:hyperlink>
    </w:p>
    <w:p>
      <w:pPr>
        <w:spacing w:after="40"/>
        <w:ind w:left="230"/>
      </w:pPr>
      <w:hyperlink w:anchor="b21">
        <w:r>
          <w:rPr>
            <w:sz w:val="20"/>
          </w:rPr>
          <w:t>色素性疾病</w:t>
        </w:r>
      </w:hyperlink>
    </w:p>
    <w:p>
      <w:pPr>
        <w:spacing w:after="40"/>
        <w:ind w:left="230"/>
      </w:pPr>
      <w:hyperlink w:anchor="b24">
        <w:r>
          <w:rPr>
            <w:sz w:val="20"/>
          </w:rPr>
          <w:t>毛发甲病</w:t>
        </w:r>
      </w:hyperlink>
    </w:p>
    <w:p>
      <w:pPr>
        <w:spacing w:after="40"/>
        <w:ind w:left="230"/>
      </w:pPr>
      <w:hyperlink w:anchor="b27">
        <w:r>
          <w:rPr>
            <w:sz w:val="20"/>
          </w:rPr>
          <w:t>活检后创面</w:t>
        </w:r>
      </w:hyperlink>
    </w:p>
    <w:p>
      <w:pPr>
        <w:spacing w:after="40"/>
        <w:ind w:left="230"/>
      </w:pPr>
      <w:hyperlink w:anchor="b30">
        <w:r>
          <w:rPr>
            <w:sz w:val="20"/>
          </w:rPr>
          <w:t>外科切口换药拆线</w:t>
        </w:r>
      </w:hyperlink>
    </w:p>
    <w:p>
      <w:pPr>
        <w:spacing w:after="40"/>
        <w:ind w:left="230"/>
      </w:pPr>
      <w:hyperlink w:anchor="b33">
        <w:r>
          <w:rPr>
            <w:sz w:val="20"/>
          </w:rPr>
          <w:t>皮片皮瓣</w:t>
        </w:r>
      </w:hyperlink>
    </w:p>
    <w:p>
      <w:pPr>
        <w:spacing w:after="40"/>
        <w:ind w:left="230"/>
      </w:pPr>
      <w:hyperlink w:anchor="b36">
        <w:r>
          <w:rPr>
            <w:sz w:val="20"/>
          </w:rPr>
          <w:t>激光冷冻后</w:t>
        </w:r>
      </w:hyperlink>
    </w:p>
    <w:p>
      <w:pPr>
        <w:spacing w:after="40"/>
        <w:ind w:left="230"/>
      </w:pPr>
      <w:hyperlink w:anchor="b39">
        <w:r>
          <w:rPr>
            <w:sz w:val="20"/>
          </w:rPr>
          <w:t>光疗连续过程</w:t>
        </w:r>
      </w:hyperlink>
    </w:p>
    <w:p>
      <w:pPr>
        <w:spacing w:after="40"/>
        <w:ind w:left="230"/>
      </w:pPr>
      <w:hyperlink w:anchor="b42">
        <w:r>
          <w:rPr>
            <w:sz w:val="20"/>
          </w:rPr>
          <w:t>生物制剂长期</w:t>
        </w:r>
      </w:hyperlink>
    </w:p>
    <w:p>
      <w:pPr>
        <w:spacing w:after="40"/>
        <w:ind w:left="230"/>
      </w:pPr>
      <w:hyperlink w:anchor="b45">
        <w:r>
          <w:rPr>
            <w:sz w:val="20"/>
          </w:rPr>
          <w:t>免疫抑制剂长期</w:t>
        </w:r>
      </w:hyperlink>
    </w:p>
    <w:p>
      <w:pPr>
        <w:spacing w:after="40"/>
        <w:ind w:left="230"/>
      </w:pPr>
      <w:hyperlink w:anchor="b48">
        <w:r>
          <w:rPr>
            <w:sz w:val="20"/>
          </w:rPr>
          <w:t>不良反应后续</w:t>
        </w:r>
      </w:hyperlink>
    </w:p>
    <w:p>
      <w:pPr>
        <w:spacing w:after="40"/>
        <w:ind w:left="230"/>
      </w:pPr>
      <w:hyperlink w:anchor="b51">
        <w:r>
          <w:rPr>
            <w:sz w:val="20"/>
          </w:rPr>
          <w:t>重症药疹恢复</w:t>
        </w:r>
      </w:hyperlink>
    </w:p>
    <w:p>
      <w:pPr>
        <w:spacing w:after="40"/>
        <w:ind w:left="230"/>
      </w:pPr>
      <w:hyperlink w:anchor="b54">
        <w:r>
          <w:rPr>
            <w:sz w:val="20"/>
          </w:rPr>
          <w:t>皮肤肿瘤长期</w:t>
        </w:r>
      </w:hyperlink>
    </w:p>
    <w:p>
      <w:pPr>
        <w:spacing w:after="40"/>
        <w:ind w:left="230"/>
      </w:pPr>
      <w:hyperlink w:anchor="b57">
        <w:r>
          <w:rPr>
            <w:sz w:val="20"/>
          </w:rPr>
          <w:t>防晒与保护</w:t>
        </w:r>
      </w:hyperlink>
    </w:p>
    <w:p>
      <w:pPr>
        <w:spacing w:after="40"/>
        <w:ind w:left="230"/>
      </w:pPr>
      <w:hyperlink w:anchor="b60">
        <w:r>
          <w:rPr>
            <w:sz w:val="20"/>
          </w:rPr>
          <w:t>复发风险</w:t>
        </w:r>
      </w:hyperlink>
    </w:p>
    <w:p>
      <w:pPr>
        <w:spacing w:after="40"/>
        <w:ind w:left="230"/>
      </w:pPr>
      <w:hyperlink w:anchor="b63">
        <w:r>
          <w:rPr>
            <w:sz w:val="20"/>
          </w:rPr>
          <w:t>出院诊断</w:t>
        </w:r>
      </w:hyperlink>
    </w:p>
    <w:p>
      <w:pPr>
        <w:spacing w:after="40"/>
        <w:ind w:left="230"/>
      </w:pPr>
      <w:hyperlink w:anchor="b66">
        <w:r>
          <w:rPr>
            <w:sz w:val="20"/>
          </w:rPr>
          <w:t>出院用药</w:t>
        </w:r>
      </w:hyperlink>
    </w:p>
    <w:p>
      <w:pPr>
        <w:spacing w:after="40"/>
        <w:ind w:left="230"/>
      </w:pPr>
      <w:hyperlink w:anchor="b69">
        <w:r>
          <w:rPr>
            <w:sz w:val="20"/>
          </w:rPr>
          <w:t>出院警示</w:t>
        </w:r>
      </w:hyperlink>
    </w:p>
    <w:p>
      <w:pPr>
        <w:spacing w:after="40"/>
        <w:ind w:left="230"/>
      </w:pPr>
      <w:hyperlink w:anchor="b72">
        <w:r>
          <w:rPr>
            <w:sz w:val="20"/>
          </w:rPr>
          <w:t>复诊计划</w:t>
        </w:r>
      </w:hyperlink>
    </w:p>
    <w:p>
      <w:pPr>
        <w:spacing w:after="40"/>
        <w:ind w:left="230"/>
      </w:pPr>
      <w:hyperlink w:anchor="b75">
        <w:r>
          <w:rPr>
            <w:sz w:val="20"/>
          </w:rPr>
          <w:t>未回病理交接</w:t>
        </w:r>
      </w:hyperlink>
    </w:p>
    <w:p>
      <w:pPr>
        <w:spacing w:after="40"/>
        <w:ind w:left="230"/>
      </w:pPr>
      <w:hyperlink w:anchor="b78">
        <w:r>
          <w:rPr>
            <w:sz w:val="20"/>
          </w:rPr>
          <w:t>儿童妊娠老年</w:t>
        </w:r>
      </w:hyperlink>
    </w:p>
    <w:p>
      <w:pPr>
        <w:spacing w:after="40"/>
        <w:ind w:left="0"/>
      </w:pPr>
      <w:hyperlink w:anchor="b81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84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87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99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功能定位：创面护理慢病出院与长期随访闭环。本库服务中国医院普通皮肤病房、重症、皮肤外科、治疗室及皮肤性病临床，由具有权限的医师审核拟稿。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适用场景与自动调用：术后护理慢病随访恢复期及出院。必要患者资料：明确诊断、真实药物和操作、当次病情及医师确认复查。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正式文书按01和10执行：题头在text代码框外，框内仅正文；日常病程及三级查房一整段，未知事实不补齐。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6" w:name="b6"/>
      <w:pPr>
        <w:pStyle w:val="Heading2"/>
      </w:pPr>
      <w:r>
        <w:t>屏障修复清洁保湿外用</w:t>
      </w:r>
      <w:bookmarkEnd w:id="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适用与必要资料：皮肤完整性渗出、清洁刺激和外用依从。护理及随访规则：按部位剂型顺序与疗程指导，不能假设患者已学会。本项由真实诊断及医师确认方案决定，执行和宣教完成均需来源。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屏障修复清洁保湿外用随访或出院指导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" w:name="b9"/>
      <w:pPr>
        <w:pStyle w:val="Heading2"/>
      </w:pPr>
      <w:r>
        <w:t>湿疹及AD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适用与必要资料：复发部位、睡眠、感染及外用计划。护理及随访规则：个体诱因和主动维持；儿童不凭检测阳性广泛忌口。本项由真实诊断及医师确认方案决定，执行和宣教完成均需来源。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湿疹及AD随访或出院指导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" w:name="b12"/>
      <w:pPr>
        <w:pStyle w:val="Heading2"/>
      </w:pPr>
      <w:r>
        <w:t>银屑病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适用与必要资料：皮肤关节共病、实际药物与量表基线。护理及随访规则：统一版本评疗效和长期安全，生物制剂漏针处理须医师确认。本项由真实诊断及医师确认方案决定，执行和宣教完成均需来源。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银屑病随访或出院指导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" w:name="b15"/>
      <w:pPr>
        <w:pStyle w:val="Heading2"/>
      </w:pPr>
      <w:r>
        <w:t>荨麻疹</w:t>
      </w:r>
      <w:bookmarkEnd w:id="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适用与必要资料：每日风团水肿症状和实际用药。护理及随访规则：根据确认控制状态和方案复查，严重过敏行动计划不得臆造。本项由真实诊断及医师确认方案决定，执行和宣教完成均需来源。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荨麻疹随访或出院指导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8" w:name="b18"/>
      <w:pPr>
        <w:pStyle w:val="Heading2"/>
      </w:pPr>
      <w:r>
        <w:t>感染恢复期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适用与必要资料：临床和病原结果、抗感染起止。护理及随访规则：症状缓解不等全部病原清除，识别复发和耐药等不同原因。本项由真实诊断及医师确认方案决定，执行和宣教完成均需来源。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感染恢复期随访或出院指导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1" w:name="b21"/>
      <w:pPr>
        <w:pStyle w:val="Heading2"/>
      </w:pPr>
      <w:r>
        <w:t>色素性疾病</w:t>
      </w:r>
      <w:bookmarkEnd w:id="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适用与必要资料：新斑、活动和同条件影像。护理及随访规则：防晒及治疗反应个体化，避免按照片颜色变化认疗效。本项由真实诊断及医师确认方案决定，执行和宣教完成均需来源。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色素性疾病随访或出院指导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4" w:name="b24"/>
      <w:pPr>
        <w:pStyle w:val="Heading2"/>
      </w:pPr>
      <w:r>
        <w:t>毛发甲病</w:t>
      </w:r>
      <w:bookmarkEnd w:id="2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适用与必要资料：标准照片、毛发镜、甲生长和执行。护理及随访规则：随生长周期评价，不从短期未变认失败。本项由真实诊断及医师确认方案决定，执行和宣教完成均需来源。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毛发甲病随访或出院指导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7" w:name="b27"/>
      <w:pPr>
        <w:pStyle w:val="Heading2"/>
      </w:pPr>
      <w:r>
        <w:t>活检后创面</w:t>
      </w:r>
      <w:bookmarkEnd w:id="2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适用与必要资料：操作日期部位缝合敷料和病理。护理及随访规则：复查拆线按实际部位张力方案及伤口，不统一天数。本项由真实诊断及医师确认方案决定，执行和宣教完成均需来源。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活检后创面随访或出院指导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0" w:name="b30"/>
      <w:pPr>
        <w:pStyle w:val="Heading2"/>
      </w:pPr>
      <w:r>
        <w:t>外科切口换药拆线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适用与必要资料：出血渗液、创缘、感染证据和真实拆线。护理及随访规则：拟拆不等已拆，记录部分或全部及实际时间。本项由真实诊断及医师确认方案决定，执行和宣教完成均需来源。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外科切口换药拆线随访或出院指导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3" w:name="b33"/>
      <w:pPr>
        <w:pStyle w:val="Heading2"/>
      </w:pPr>
      <w:r>
        <w:t>皮片皮瓣</w:t>
      </w:r>
      <w:bookmarkEnd w:id="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适用与必要资料：供受区血运、敷料、坏死感染及功能。护理及随访规则：颜色温度灌注须实查，疑血运异常及时现场处理。本项由真实诊断及医师确认方案决定，执行和宣教完成均需来源。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皮片皮瓣随访或出院指导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6" w:name="b36"/>
      <w:pPr>
        <w:pStyle w:val="Heading2"/>
      </w:pPr>
      <w:r>
        <w:t>激光冷冻后</w:t>
      </w:r>
      <w:bookmarkEnd w:id="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适用与必要资料：部位参数、疼痛水疱结痂及防护。护理及随访规则：不撕痂等护理按操作方案，异常感染色素瘢痕及时评估。本项由真实诊断及医师确认方案决定，执行和宣教完成均需来源。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激光冷冻后随访或出院指导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9" w:name="b39"/>
      <w:pPr>
        <w:pStyle w:val="Heading2"/>
      </w:pPr>
      <w:r>
        <w:t>光疗连续过程</w:t>
      </w:r>
      <w:bookmarkEnd w:id="3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适用与必要资料：每次剂量累计和红斑反应及停变。护理及随访规则：家庭光疗设备培训和剂量需真实授权，不自行递增。本项由真实诊断及医师确认方案决定，执行和宣教完成均需来源。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光疗连续过程随访或出院指导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2" w:name="b42"/>
      <w:pPr>
        <w:pStyle w:val="Heading2"/>
      </w:pPr>
      <w:r>
        <w:t>生物制剂长期</w:t>
      </w:r>
      <w:bookmarkEnd w:id="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适用与必要资料：每针及感染TB HBV等药物特异监测。护理及随访规则：明确给药和复诊时间、暂停恢复条件责任，未执行不能写完成。本项由真实诊断及医师确认方案决定，执行和宣教完成均需来源。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生物制剂长期随访或出院指导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5" w:name="b45"/>
      <w:pPr>
        <w:pStyle w:val="Heading2"/>
      </w:pPr>
      <w:r>
        <w:t>免疫抑制剂长期</w:t>
      </w:r>
      <w:bookmarkEnd w:id="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适用与必要资料：血常规肝肾血压及具体药物风险。护理及随访规则：实际复查频率按药品和方案，周制剂防每日误用。本项由真实诊断及医师确认方案决定，执行和宣教完成均需来源。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免疫抑制剂长期随访或出院指导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8" w:name="b48"/>
      <w:pPr>
        <w:pStyle w:val="Heading2"/>
      </w:pPr>
      <w:r>
        <w:t>不良反应后续</w:t>
      </w:r>
      <w:bookmarkEnd w:id="4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适用与必要资料：致疑药物、器官指标、停药及恢复。护理及随访规则：过敏标签和报告状态真实，不能默认所有再暴露绝对已禁止。本项由真实诊断及医师确认方案决定，执行和宣教完成均需来源。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不良反应后续随访或出院指导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1" w:name="b51"/>
      <w:pPr>
        <w:pStyle w:val="Heading2"/>
      </w:pPr>
      <w:r>
        <w:t>重症药疹恢复</w:t>
      </w:r>
      <w:bookmarkEnd w:id="5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适用与必要资料：皮损黏膜眼生殖器及器官恢复。护理及随访规则：追踪眼部瘢痕和迟发器官问题，药物因果及禁用清单由医师确认。本项由真实诊断及医师确认方案决定，执行和宣教完成均需来源。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重症药疹恢复随访或出院指导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4" w:name="b54"/>
      <w:pPr>
        <w:pStyle w:val="Heading2"/>
      </w:pPr>
      <w:r>
        <w:t>皮肤肿瘤长期</w:t>
      </w:r>
      <w:bookmarkEnd w:id="5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适用与必要资料：最终病理切缘分期、手术和待回补充。护理及随访规则：按真实风险安排皮肤及区域结随访，不给所有癌同一频率。本项由真实诊断及医师确认方案决定，执行和宣教完成均需来源。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皮肤肿瘤长期随访或出院指导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7" w:name="b57"/>
      <w:pPr>
        <w:pStyle w:val="Heading2"/>
      </w:pPr>
      <w:r>
        <w:t>防晒与保护</w:t>
      </w:r>
      <w:bookmarkEnd w:id="5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适用与必要资料：实际疾病光敏和具体治疗。护理及随访规则：按生活工作及可及性指导，不承诺单靠防晒治愈。本项由真实诊断及医师确认方案决定，执行和宣教完成均需来源。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防晒与保护随访或出院指导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0" w:name="b60"/>
      <w:pPr>
        <w:pStyle w:val="Heading2"/>
      </w:pPr>
      <w:r>
        <w:t>复发风险</w:t>
      </w:r>
      <w:bookmarkEnd w:id="6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适用与必要资料：既往复发、触发、药物停变和共病。护理及随访规则：以本例风险制定警示，不把风险写已复发。本项由真实诊断及医师确认方案决定，执行和宣教完成均需来源。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复发风险随访或出院指导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3" w:name="b63"/>
      <w:pPr>
        <w:pStyle w:val="Heading2"/>
      </w:pPr>
      <w:r>
        <w:t>出院诊断</w:t>
      </w:r>
      <w:bookmarkEnd w:id="6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适用与必要资料：入院初诊、病理修订及待排。护理及随访规则：保留未决诊断和依据，不把待回标本默认良性。本项由真实诊断及医师确认方案决定，执行和宣教完成均需来源。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出院诊断随访或出院指导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6" w:name="b66"/>
      <w:pPr>
        <w:pStyle w:val="Heading2"/>
      </w:pPr>
      <w:r>
        <w:t>出院用药</w:t>
      </w:r>
      <w:bookmarkEnd w:id="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适用与必要资料：通用名剂型用法部位剂量频次疗程及停用。护理及随访规则：核对住院停药与出院续药，禁止自动续全部历史药。本项由真实诊断及医师确认方案决定，执行和宣教完成均需来源。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出院用药随访或出院指导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9" w:name="b69"/>
      <w:pPr>
        <w:pStyle w:val="Heading2"/>
      </w:pPr>
      <w:r>
        <w:t>出院警示</w:t>
      </w:r>
      <w:bookmarkEnd w:id="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适用与必要资料：原病药物和术后特异危险。护理及随访规则：气道循环异常、迅速剥脱、发热坏死、视力变化等及时就诊，内容按本例选。本项由真实诊断及医师确认方案决定，执行和宣教完成均需来源。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出院警示随访或出院指导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2" w:name="b72"/>
      <w:pPr>
        <w:pStyle w:val="Heading2"/>
      </w:pPr>
      <w:r>
        <w:t>复诊计划</w:t>
      </w:r>
      <w:bookmarkEnd w:id="7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适用与必要资料：项目、时点、地点责任及联系办法。护理及随访规则：用真实预约或确认时间；尚未约写拟复诊而不编门诊号。本项由真实诊断及医师确认方案决定，执行和宣教完成均需来源。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复诊计划随访或出院指导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5" w:name="b75"/>
      <w:pPr>
        <w:pStyle w:val="Heading2"/>
      </w:pPr>
      <w:r>
        <w:t>未回病理交接</w:t>
      </w:r>
      <w:bookmarkEnd w:id="7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适用与必要资料：标本编号部位、预计回报、追踪责任。护理及随访规则：结果回报触发联系和诊断修订，不因出院自动关闭。本项由真实诊断及医师确认方案决定，执行和宣教完成均需来源。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未回病理交接随访或出院指导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8" w:name="b78"/>
      <w:pPr>
        <w:pStyle w:val="Heading2"/>
      </w:pPr>
      <w:r>
        <w:t>儿童妊娠老年</w:t>
      </w:r>
      <w:bookmarkEnd w:id="7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适用与必要资料：体重生长母胎照护及多药。护理及随访规则：联合107，不套成人剂量和统一随访。本项由真实诊断及医师确认方案决定，执行和宣教完成均需来源。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儿童妊娠老年随访或出院指导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目前【真实诊断及阶段】，已完成【治疗和操作】，当前【实查及存在问题】。后续按【已确认个体方案】执行，复查【项目时点责任】，出现【本例警示】及时就诊；尚待【结果或决策】由【实际责任安排】跟进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1" w:name="b81"/>
      <w:pPr>
        <w:pStyle w:val="Heading1"/>
      </w:pPr>
      <w:r>
        <w:t>真实性限制 常见错误与质控</w:t>
      </w:r>
      <w:bookmarkEnd w:id="8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84" w:name="b84"/>
      <w:pPr>
        <w:pStyle w:val="Heading1"/>
      </w:pPr>
      <w:r>
        <w:t>模块协同与版本维护</w:t>
      </w:r>
      <w:bookmarkEnd w:id="8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87" w:name="b87"/>
      <w:pPr>
        <w:pStyle w:val="Heading1"/>
      </w:pPr>
      <w:r>
        <w:t>参考指南及核验范围</w:t>
      </w:r>
      <w:bookmarkEnd w:id="8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R04 中国银屑病诊疗指南（2023版）。发布机构：中华医学会皮肤性病学分会银屑病专业委员会；年份或版本：2023；适用：银屑病诊断分型及治疗；核验日期：2026-10-30。核验结果：医学会分会正式发布页及原刊影印件可检索；用于框架，未逐条录入推荐等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https:/​/​www.jsma.net.cn/​cn/​zwh/​content.aspx?committeeId=83&amp;oid=63261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R09 中国特应性皮炎诊疗指南（2020版）。发布机构：中华医学会皮肤性病学分会免疫学组等；年份或版本：2020；适用：AD临床诊断与综合评估；核验日期：2026-10-30。核验结果：原出版平台全文可见；与儿童2026共识及EuroGuiDerm分别标版本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https:/​/​cmab.yiigle.com/​uploads/​guide_​html/​中国特应性皮炎诊疗指南（2020版）.html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R15 白癜风诊疗共识（2021版）。发布机构：中国中西医结合学会皮肤性病专业委员会色素病学组等；年份或版本：2021；适用：白癜风分型活动度及管理；核验日期：2026-10-30。核验结果：原刊影印件可见；发布期刊年份和版本年份分别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https:/​/​xa3yuanlib.yuntsg.com/​ueditor/​jsp/​upload/​file/​20220907/​1662557079401029695.pdf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R16 中国皮肤基底细胞癌诊疗指南（2023版）。发布机构：国家皮肤与免疫疾病临床医学研究中心等专家组；年份或版本：版本2023 正式刊发2024；适用：BCC临床病理及治疗；核验日期：2026-10-30。核验结果：中山大学中山眼科中心发布页及原刊影印件可见；中华医学杂志2024年第104卷第6期。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https:/​/​www.gzzoc.org.cn/​node/​14014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R20 梅毒诊断 WS 273—2018。发布机构：国家卫生健康委员会；年份或版本：2018；适用：梅毒临床实验室及分期；核验日期：2026-10-30。核验结果：官方标准正文及施行信息可见；适用状态由医疗机构上线前再次核对。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https:/​/​www.nhc.gov.cn/​wjw/​s9491/​201803/​5103a5425f9e47d29b91de38434b7f74.shtml</w:t>
      </w:r>
    </w:p>
    <w:p>
      <w:bookmarkStart w:id="99" w:name="b99"/>
      <w:pPr>
        <w:pStyle w:val="Heading1"/>
      </w:pPr>
      <w:r>
        <w:t>虚构病例示例</w:t>
      </w:r>
      <w:bookmarkEnd w:id="9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以下病例完全虚构，仅供规则演示，不得导入真实病例。患者TEST09、住院E01，日期2026年10月30日，事实限定如下。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患者皮肤肿物已切除，标本S01病理尚未回报，今日创面观察资料未提示可直接确定拆线日期。出院计划需明确病理追踪责任和创面复查安排；当前不能把出院诊断改为良性肿物或写切缘阴性。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09_皮肤科创面护理慢病管理出院及长期随访模板库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