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103 细菌真菌病毒寄生虫及其他感染性皮肤病模板库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103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本模块涵盖细菌真菌病毒寄生虫及其他感染性皮肤病模板库。使用时先核患者及本次住院、真实证据与执行状态，再按任务读取相关章节。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33">
        <w:r>
          <w:rPr>
            <w:sz w:val="20"/>
          </w:rPr>
          <w:t>亚型及特殊情境的差异化规则</w:t>
        </w:r>
      </w:hyperlink>
    </w:p>
    <w:p>
      <w:pPr>
        <w:spacing w:after="40"/>
        <w:ind w:left="230"/>
      </w:pPr>
      <w:hyperlink w:anchor="b38">
        <w:r>
          <w:rPr>
            <w:sz w:val="20"/>
          </w:rPr>
          <w:t>01 脓疱疮及细菌性毛囊炎</w:t>
        </w:r>
      </w:hyperlink>
    </w:p>
    <w:p>
      <w:pPr>
        <w:spacing w:after="40"/>
        <w:ind w:left="230"/>
      </w:pPr>
      <w:hyperlink w:anchor="b81">
        <w:r>
          <w:rPr>
            <w:sz w:val="20"/>
          </w:rPr>
          <w:t>02 疖痈及皮肤脓肿</w:t>
        </w:r>
      </w:hyperlink>
    </w:p>
    <w:p>
      <w:pPr>
        <w:spacing w:after="40"/>
        <w:ind w:left="230"/>
      </w:pPr>
      <w:hyperlink w:anchor="b124">
        <w:r>
          <w:rPr>
            <w:sz w:val="20"/>
          </w:rPr>
          <w:t>03 蜂窝织炎及丹毒</w:t>
        </w:r>
      </w:hyperlink>
    </w:p>
    <w:p>
      <w:pPr>
        <w:spacing w:after="40"/>
        <w:ind w:left="230"/>
      </w:pPr>
      <w:hyperlink w:anchor="b167">
        <w:r>
          <w:rPr>
            <w:sz w:val="20"/>
          </w:rPr>
          <w:t>04 浅部皮肤真菌病</w:t>
        </w:r>
      </w:hyperlink>
    </w:p>
    <w:p>
      <w:pPr>
        <w:spacing w:after="40"/>
        <w:ind w:left="230"/>
      </w:pPr>
      <w:hyperlink w:anchor="b210">
        <w:r>
          <w:rPr>
            <w:sz w:val="20"/>
          </w:rPr>
          <w:t>05 甲真菌病</w:t>
        </w:r>
      </w:hyperlink>
    </w:p>
    <w:p>
      <w:pPr>
        <w:spacing w:after="40"/>
        <w:ind w:left="230"/>
      </w:pPr>
      <w:hyperlink w:anchor="b253">
        <w:r>
          <w:rPr>
            <w:sz w:val="20"/>
          </w:rPr>
          <w:t>06 头癣及皮肤念珠菌病</w:t>
        </w:r>
      </w:hyperlink>
    </w:p>
    <w:p>
      <w:pPr>
        <w:spacing w:after="40"/>
        <w:ind w:left="230"/>
      </w:pPr>
      <w:hyperlink w:anchor="b296">
        <w:r>
          <w:rPr>
            <w:sz w:val="20"/>
          </w:rPr>
          <w:t>07 单纯疱疹及带状疱疹</w:t>
        </w:r>
      </w:hyperlink>
    </w:p>
    <w:p>
      <w:pPr>
        <w:spacing w:after="40"/>
        <w:ind w:left="230"/>
      </w:pPr>
      <w:hyperlink w:anchor="b339">
        <w:r>
          <w:rPr>
            <w:sz w:val="20"/>
          </w:rPr>
          <w:t>08 疣及传染性软疣</w:t>
        </w:r>
      </w:hyperlink>
    </w:p>
    <w:p>
      <w:pPr>
        <w:spacing w:after="40"/>
        <w:ind w:left="230"/>
      </w:pPr>
      <w:hyperlink w:anchor="b382">
        <w:r>
          <w:rPr>
            <w:sz w:val="20"/>
          </w:rPr>
          <w:t>09 疥疮及其他寄生虫病</w:t>
        </w:r>
      </w:hyperlink>
    </w:p>
    <w:p>
      <w:pPr>
        <w:spacing w:after="40"/>
        <w:ind w:left="230"/>
      </w:pPr>
      <w:hyperlink w:anchor="b425">
        <w:r>
          <w:rPr>
            <w:sz w:val="20"/>
          </w:rPr>
          <w:t>10 麻风及免疫抑制相关特殊感染</w:t>
        </w:r>
      </w:hyperlink>
    </w:p>
    <w:p>
      <w:pPr>
        <w:spacing w:after="40"/>
        <w:ind w:left="0"/>
      </w:pPr>
      <w:hyperlink w:anchor="b468">
        <w:r>
          <w:rPr>
            <w:sz w:val="20"/>
          </w:rPr>
          <w:t>真实性限制 常见错误与质控</w:t>
        </w:r>
      </w:hyperlink>
    </w:p>
    <w:p>
      <w:pPr>
        <w:spacing w:after="40"/>
        <w:ind w:left="0"/>
      </w:pPr>
      <w:hyperlink w:anchor="b471">
        <w:r>
          <w:rPr>
            <w:sz w:val="20"/>
          </w:rPr>
          <w:t>模块协同与版本维护</w:t>
        </w:r>
      </w:hyperlink>
    </w:p>
    <w:p>
      <w:pPr>
        <w:spacing w:after="40"/>
        <w:ind w:left="0"/>
      </w:pPr>
      <w:hyperlink w:anchor="b474">
        <w:r>
          <w:rPr>
            <w:sz w:val="20"/>
          </w:rPr>
          <w:t>参考指南及核验范围</w:t>
        </w:r>
      </w:hyperlink>
    </w:p>
    <w:p>
      <w:pPr>
        <w:spacing w:after="40"/>
        <w:ind w:left="0"/>
      </w:pPr>
      <w:hyperlink w:anchor="b486">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脓疱疮：先检索“脓疱疮及细菌性毛囊炎”及对应形态证据；以本例部位、年龄、阶段和证据决定分支，不从此目录直接生成诊断。</w:t>
      </w:r>
    </w:p>
    <w:p>
      <w:pPr>
        <w:spacing w:after="100"/>
      </w:pPr>
      <w:r>
        <w:rPr>
          <w:rFonts w:ascii="Arial" w:hAnsi="Arial" w:eastAsia="宋体"/>
          <w:b w:val="0"/>
          <w:color w:val="000000"/>
          <w:sz w:val="22"/>
        </w:rPr>
        <w:t>毛囊炎：先检索“麻风及免疫抑制相关特殊感染”及对应形态证据；以本例部位、年龄、阶段和证据决定分支，不从此目录直接生成诊断。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疖与痈：先检索“麻风及免疫抑制相关特殊感染”及对应形态证据；以本例部位、年龄、阶段和证据决定分支，不从此目录直接生成诊断。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蜂窝织炎：先检索“蜂窝织炎及丹毒”及对应形态证据；以本例部位、年龄、阶段和证据决定分支，不从此目录直接生成诊断。</w:t>
      </w:r>
    </w:p>
    <w:p>
      <w:pPr>
        <w:spacing w:after="100"/>
      </w:pPr>
      <w:r>
        <w:rPr>
          <w:rFonts w:ascii="Arial" w:hAnsi="Arial" w:eastAsia="宋体"/>
          <w:b w:val="0"/>
          <w:color w:val="000000"/>
          <w:sz w:val="22"/>
        </w:rPr>
        <w:t>丹毒：先检索“蜂窝织炎及丹毒”及对应形态证据；以本例部位、年龄、阶段和证据决定分支，不从此目录直接生成诊断。</w:t>
      </w:r>
    </w:p>
    <w:p>
      <w:pPr>
        <w:spacing w:after="100"/>
      </w:pPr>
      <w:r>
        <w:rPr>
          <w:rFonts w:ascii="Arial" w:hAnsi="Arial" w:eastAsia="宋体"/>
          <w:b w:val="0"/>
          <w:color w:val="000000"/>
          <w:sz w:val="22"/>
        </w:rPr>
        <w:t>皮肤脓肿：先检索“疖痈及皮肤脓肿”及对应形态证据；以本例部位、年龄、阶段和证据决定分支，不从此目录直接生成诊断。</w:t>
      </w:r>
    </w:p>
    <w:p>
      <w:pPr>
        <w:spacing w:after="100"/>
      </w:pPr>
      <w:r>
        <w:rPr>
          <w:rFonts w:ascii="Arial" w:hAnsi="Arial" w:eastAsia="宋体"/>
          <w:b w:val="0"/>
          <w:color w:val="000000"/>
          <w:sz w:val="22"/>
        </w:rPr>
        <w:t>皮肤软组织感染：先检索“麻风及免疫抑制相关特殊感染”及对应形态证据；以本例部位、年龄、阶段和证据决定分支，不从此目录直接生成诊断。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体癣：先检索“麻风及免疫抑制相关特殊感染”及对应形态证据；以本例部位、年龄、阶段和证据决定分支，不从此目录直接生成诊断。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股癣：先检索“麻风及免疫抑制相关特殊感染”及对应形态证据；以本例部位、年龄、阶段和证据决定分支，不从此目录直接生成诊断。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手癣：先检索“麻风及免疫抑制相关特殊感染”及对应形态证据；以本例部位、年龄、阶段和证据决定分支，不从此目录直接生成诊断。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足癣：先检索“麻风及免疫抑制相关特殊感染”及对应形态证据；以本例部位、年龄、阶段和证据决定分支，不从此目录直接生成诊断。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甲真菌病：先检索“甲真菌病”及对应形态证据；感染性甲病证据归103，甲结构描述联合105；以本例部位、年龄、阶段和证据决定分支，不从此目录直接生成诊断。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头癣：先检索“头癣及皮肤念珠菌病”及对应形态证据；以本例部位、年龄、阶段和证据决定分支，不从此目录直接生成诊断。</w:t>
      </w:r>
    </w:p>
    <w:p>
      <w:pPr>
        <w:spacing w:after="100"/>
      </w:pPr>
      <w:r>
        <w:rPr>
          <w:rFonts w:ascii="Arial" w:hAnsi="Arial" w:eastAsia="宋体"/>
          <w:b w:val="0"/>
          <w:color w:val="000000"/>
          <w:sz w:val="22"/>
        </w:rPr>
        <w:t>皮肤念珠菌感染：先检索“麻风及免疫抑制相关特殊感染”及对应形态证据；以本例部位、年龄、阶段和证据决定分支，不从此目录直接生成诊断。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其他皮肤真菌病：先检索“麻风及免疫抑制相关特殊感染”及对应形态证据；以本例部位、年龄、阶段和证据决定分支，不从此目录直接生成诊断。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单纯疱疹：先检索“单纯疱疹及带状疱疹”及对应形态证据；以本例部位、年龄、阶段和证据决定分支，不从此目录直接生成诊断。</w:t>
      </w:r>
    </w:p>
    <w:p>
      <w:pPr>
        <w:spacing w:after="100"/>
      </w:pPr>
      <w:r>
        <w:rPr>
          <w:rFonts w:ascii="Arial" w:hAnsi="Arial" w:eastAsia="宋体"/>
          <w:b w:val="0"/>
          <w:color w:val="000000"/>
          <w:sz w:val="22"/>
        </w:rPr>
        <w:t>带状疱疹：先检索“单纯疱疹及带状疱疹”及对应形态证据；以本例部位、年龄、阶段和证据决定分支，不从此目录直接生成诊断。</w:t>
      </w:r>
    </w:p>
    <w:p>
      <w:pPr>
        <w:spacing w:after="100"/>
      </w:pPr>
      <w:r>
        <w:rPr>
          <w:rFonts w:ascii="Arial" w:hAnsi="Arial" w:eastAsia="宋体"/>
          <w:b w:val="0"/>
          <w:color w:val="000000"/>
          <w:sz w:val="22"/>
        </w:rPr>
        <w:t>疣：先检索“麻风及免疫抑制相关特殊感染”及对应形态证据；以本例部位、年龄、阶段和证据决定分支，不从此目录直接生成诊断。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传染性软疣：先检索“疣及传染性软疣”及对应形态证据；以本例部位、年龄、阶段和证据决定分支，不从此目录直接生成诊断。</w:t>
      </w:r>
    </w:p>
    <w:p>
      <w:pPr>
        <w:spacing w:after="100"/>
      </w:pPr>
      <w:r>
        <w:rPr>
          <w:rFonts w:ascii="Arial" w:hAnsi="Arial" w:eastAsia="宋体"/>
          <w:b w:val="0"/>
          <w:color w:val="000000"/>
          <w:sz w:val="22"/>
        </w:rPr>
        <w:t>疥疮：先检索“疥疮及其他寄生虫病”及对应形态证据；以本例部位、年龄、阶段和证据决定分支，不从此目录直接生成诊断。</w:t>
      </w:r>
    </w:p>
    <w:p>
      <w:pPr>
        <w:spacing w:after="100"/>
      </w:pPr>
      <w:r>
        <w:rPr>
          <w:rFonts w:ascii="Arial" w:hAnsi="Arial" w:eastAsia="宋体"/>
          <w:b w:val="0"/>
          <w:color w:val="000000"/>
          <w:sz w:val="22"/>
        </w:rPr>
        <w:t>其他寄生虫相关皮肤病：先检索“麻风及免疫抑制相关特殊感染”及对应形态证据；以本例部位、年龄、阶段和证据决定分支，不从此目录直接生成诊断。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麻风相关皮肤病：先检索“麻风及免疫抑制相关特殊感染”及对应形态证据；以本例部位、年龄、阶段和证据决定分支，不从此目录直接生成诊断。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免疫抑制患者特殊皮肤感染：先检索“麻风及免疫抑制相关特殊感染”及对应形态证据；以本例部位、年龄、阶段和证据决定分支，不从此目录直接生成诊断。</w:t>
      </w:r>
    </w:p>
    <w:p>
      <w:pPr>
        <w:spacing w:after="100"/>
      </w:pPr>
      <w:r>
        <w:rPr>
          <w:rFonts w:ascii="Arial" w:hAnsi="Arial" w:eastAsia="宋体"/>
          <w:b w:val="0"/>
          <w:color w:val="000000"/>
          <w:sz w:val="22"/>
        </w:rPr>
        <w:t>复杂及反复发作皮肤感染：先检索“麻风及免疫抑制相关特殊感染”及对应形态证据；以本例部位、年龄、阶段和证据决定分支，不从此目录直接生成诊断。</w:t>
      </w:r>
    </w:p>
    <w:p>
      <w:bookmarkStart w:id="33" w:name="b33"/>
      <w:pPr>
        <w:pStyle w:val="Heading1"/>
      </w:pPr>
      <w:r>
        <w:t>亚型及特殊情境的差异化规则</w:t>
      </w:r>
      <w:bookmarkEnd w:id="33"/>
    </w:p>
    <w:p>
      <w:pPr>
        <w:spacing w:after="100"/>
      </w:pPr>
      <w:r>
        <w:rPr>
          <w:rFonts w:ascii="Arial" w:hAnsi="Arial" w:eastAsia="宋体"/>
          <w:b w:val="0"/>
          <w:color w:val="000000"/>
          <w:sz w:val="22"/>
        </w:rPr>
        <w:t>体股手足癣及复杂反复真菌病：每一部位记录取材，活动边缘与已用抗真菌药影响检出；足癣合并甲病可有感染源关系但不能自动传递检验结果。难治病例核依从、部位、药物、病原和耐药线索，不能未经检测填写耐药。</w:t>
      </w:r>
    </w:p>
    <w:p>
      <w:pPr>
        <w:spacing w:after="100"/>
      </w:pPr>
      <w:r>
        <w:rPr>
          <w:rFonts w:ascii="Arial" w:hAnsi="Arial" w:eastAsia="宋体"/>
          <w:b w:val="0"/>
          <w:color w:val="000000"/>
          <w:sz w:val="22"/>
        </w:rPr>
        <w:t>脓疱疮 毛囊炎 疖 痈与脓肿：脓疱疮以表浅病损讨论，毛囊炎须毛囊性分布；疖痈及脓肿更深，脓腔和波动感需实查或影像。切开引流适应证与系统抗菌适应证分开，不能以一次局部培养覆盖所有感染灶。</w:t>
      </w:r>
    </w:p>
    <w:p>
      <w:pPr>
        <w:spacing w:after="100"/>
      </w:pPr>
      <w:r>
        <w:rPr>
          <w:rFonts w:ascii="Arial" w:hAnsi="Arial" w:eastAsia="宋体"/>
          <w:b w:val="0"/>
          <w:color w:val="000000"/>
          <w:sz w:val="22"/>
        </w:rPr>
        <w:t>麻风及其他寄生虫：麻风需皮肤感觉及周围神经等实际证据和专病流程，不从色素减退斑自动诊断；其他虫媒、螨或虱病按实际虫体暴露和形态鉴别，不能把所有虫咬反应写活动寄生。</w:t>
      </w:r>
    </w:p>
    <w:p>
      <w:pPr>
        <w:spacing w:after="100"/>
      </w:pPr>
      <w:r>
        <w:rPr>
          <w:rFonts w:ascii="Arial" w:hAnsi="Arial" w:eastAsia="宋体"/>
          <w:b w:val="0"/>
          <w:color w:val="000000"/>
          <w:sz w:val="22"/>
        </w:rPr>
        <w:t>免疫抑制者特殊感染：普通形态可能不典型，深部真菌、非结核分枝杆菌和病毒等按实际疑点安排组织微生物与病理；检测阴性受取材和用药影响，不能因无发热或白细胞不高排严重感染。</w:t>
      </w:r>
    </w:p>
    <w:p>
      <w:bookmarkStart w:id="38" w:name="b38"/>
      <w:pPr>
        <w:pStyle w:val="Heading2"/>
      </w:pPr>
      <w:r>
        <w:t>01 脓疱疮及细菌性毛囊炎</w:t>
      </w:r>
      <w:bookmarkEnd w:id="38"/>
    </w:p>
    <w:p>
      <w:pPr>
        <w:spacing w:after="100"/>
      </w:pPr>
      <w:r>
        <w:rPr>
          <w:rFonts w:ascii="Arial" w:hAnsi="Arial" w:eastAsia="宋体"/>
          <w:b w:val="0"/>
          <w:color w:val="000000"/>
          <w:sz w:val="21"/>
        </w:rPr>
        <w:t>01 疾病定义：表浅细菌感染表现，病原须依样本支持。该定义是专业知识，不能代替本例诊断。</w:t>
      </w:r>
    </w:p>
    <w:p>
      <w:pPr>
        <w:spacing w:after="100"/>
      </w:pPr>
      <w:r>
        <w:rPr>
          <w:rFonts w:ascii="Arial" w:hAnsi="Arial" w:eastAsia="宋体"/>
          <w:b w:val="0"/>
          <w:color w:val="000000"/>
          <w:sz w:val="21"/>
        </w:rPr>
        <w:t>02 病因及发病机制：围绕表浅细菌感染表现，病原须依样本支持采集相关线索；患者病因只写已核证据，未证实时保留可能性。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临床表现：症状、全身受累及变化按实际病史与检查；重点核实接触、抓破、剃毛、复发、用药及免疫状态。</w:t>
      </w:r>
    </w:p>
    <w:p>
      <w:pPr>
        <w:spacing w:after="100"/>
      </w:pPr>
      <w:r>
        <w:rPr>
          <w:rFonts w:ascii="Arial" w:hAnsi="Arial" w:eastAsia="宋体"/>
          <w:b w:val="0"/>
          <w:color w:val="000000"/>
          <w:sz w:val="21"/>
        </w:rPr>
        <w:t>04 典型皮损形态：脓疱、蜜黄色痂或毛囊性丘疹，按实见分布。典型性只用于鉴别，不自动添加到患者查体。</w:t>
      </w:r>
    </w:p>
    <w:p>
      <w:pPr>
        <w:spacing w:after="100"/>
      </w:pPr>
      <w:r>
        <w:rPr>
          <w:rFonts w:ascii="Arial" w:hAnsi="Arial" w:eastAsia="宋体"/>
          <w:b w:val="0"/>
          <w:color w:val="000000"/>
          <w:sz w:val="21"/>
        </w:rPr>
        <w:t>05 皮损部位及分布：逐病灶记录脓疱、蜜黄色痂或毛囊性丘疹，按实见分布涉及的实际部位侧别、数量排列对称和范围；不补“全身”。</w:t>
      </w:r>
    </w:p>
    <w:p>
      <w:pPr>
        <w:spacing w:after="100"/>
      </w:pPr>
      <w:r>
        <w:rPr>
          <w:rFonts w:ascii="Arial" w:hAnsi="Arial" w:eastAsia="宋体"/>
          <w:b w:val="0"/>
          <w:color w:val="000000"/>
          <w:sz w:val="21"/>
        </w:rPr>
        <w:t>06 病史采集重点：接触、抓破、剃毛、复发、用药及免疫状态；保留发病与发现、首次与复发、用药计划与执行的差别。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专科检查：按03实查原发继发皮损、黏膜、毛发甲及必要触诊，围绕表浅局限与广泛系统症状分开记录而不强行检查无关项目。</w:t>
      </w:r>
    </w:p>
    <w:p>
      <w:pPr>
        <w:spacing w:after="100"/>
      </w:pPr>
      <w:r>
        <w:rPr>
          <w:rFonts w:ascii="Arial" w:hAnsi="Arial" w:eastAsia="宋体"/>
          <w:b w:val="0"/>
          <w:color w:val="000000"/>
          <w:sz w:val="21"/>
        </w:rPr>
        <w:t>08 实验室检查：不典型复发或严重时培养药敏；表面菌不自动深部感染；检查项目按问题选择，未做不写正常。</w:t>
      </w:r>
    </w:p>
    <w:p>
      <w:pPr>
        <w:spacing w:after="100"/>
      </w:pPr>
      <w:r>
        <w:rPr>
          <w:rFonts w:ascii="Arial" w:hAnsi="Arial" w:eastAsia="宋体"/>
          <w:b w:val="0"/>
          <w:color w:val="000000"/>
          <w:sz w:val="21"/>
        </w:rPr>
        <w:t>09 皮肤镜或其他辅助检查：围绕不典型复发或严重时培养药敏；表面菌不自动深部感染选择必要辅查；没有特定指征不常规添加皮肤镜，普通照不当镜图。</w:t>
      </w:r>
    </w:p>
    <w:p>
      <w:pPr>
        <w:spacing w:after="100"/>
      </w:pPr>
      <w:r>
        <w:rPr>
          <w:rFonts w:ascii="Arial" w:hAnsi="Arial" w:eastAsia="宋体"/>
          <w:b w:val="0"/>
          <w:color w:val="000000"/>
          <w:sz w:val="21"/>
        </w:rPr>
        <w:t>10 病理及免疫检查：必要时脓液取材，避免将自挤写作正式引流。HE、DIF、IIF及抗体按实际诊断问题选择，非典型或疑难再评取材；无适应证不强制。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诊断标准：采用可核实的适用临床及专科体系，不典型复发或严重时培养药敏；表面菌不自动深部感染；未核全文的评分标准不得凭题录复造。</w:t>
      </w:r>
    </w:p>
    <w:p>
      <w:pPr>
        <w:spacing w:after="100"/>
      </w:pPr>
      <w:r>
        <w:rPr>
          <w:rFonts w:ascii="Arial" w:hAnsi="Arial" w:eastAsia="宋体"/>
          <w:b w:val="0"/>
          <w:color w:val="000000"/>
          <w:sz w:val="21"/>
        </w:rPr>
        <w:t>12 诊断依据：逐条将实际脓疱、蜜黄色痂或毛囊性丘疹，按实见分布与不典型复发或严重时培养药敏；表面菌不自动深部感染对应；写本例支持、反对及尚缺证据，保持疑似/初诊/确诊确定度。</w:t>
      </w:r>
    </w:p>
    <w:p>
      <w:pPr>
        <w:spacing w:after="100"/>
      </w:pPr>
      <w:r>
        <w:rPr>
          <w:rFonts w:ascii="Arial" w:hAnsi="Arial" w:eastAsia="宋体"/>
          <w:b w:val="0"/>
          <w:color w:val="000000"/>
          <w:sz w:val="21"/>
        </w:rPr>
        <w:t>13 鉴别诊断：疱疹、接触性皮炎、真菌性毛囊炎、无菌性脓疱病。每项基于本例支持、反对和下一步验证，不机械写全部排除。</w:t>
      </w:r>
    </w:p>
    <w:p>
      <w:pPr>
        <w:spacing w:after="100"/>
      </w:pPr>
      <w:r>
        <w:rPr>
          <w:rFonts w:ascii="Arial" w:hAnsi="Arial" w:eastAsia="宋体"/>
          <w:b w:val="0"/>
          <w:color w:val="000000"/>
          <w:sz w:val="21"/>
        </w:rPr>
        <w:t>14 分型分期及严重程度：表浅局限与广泛系统症状分开。评分需体系版本、分项、日期和评估者，缺变量不自动算。</w:t>
      </w:r>
    </w:p>
    <w:p>
      <w:pPr>
        <w:spacing w:after="100"/>
      </w:pPr>
      <w:r>
        <w:rPr>
          <w:rFonts w:ascii="Arial" w:hAnsi="Arial" w:eastAsia="宋体"/>
          <w:b w:val="0"/>
          <w:color w:val="000000"/>
          <w:sz w:val="21"/>
        </w:rPr>
        <w:t>15 危急病情识别：发热、扩散、婴幼儿剥脱或免疫抑制者需升级评估。危险状态联合06，不等待文书齐全才处置。</w:t>
      </w:r>
    </w:p>
    <w:p>
      <w:pPr>
        <w:spacing w:after="100"/>
      </w:pPr>
      <w:r>
        <w:rPr>
          <w:rFonts w:ascii="Arial" w:hAnsi="Arial" w:eastAsia="宋体"/>
          <w:b w:val="0"/>
          <w:color w:val="000000"/>
          <w:sz w:val="21"/>
        </w:rPr>
        <w:t>16 外用治疗：有限局部感染按医师选外用抗菌，避免无限疗程。该项为决策知识，患者已用与否及用法必须真实。</w:t>
      </w:r>
    </w:p>
    <w:p>
      <w:pPr>
        <w:spacing w:after="100"/>
      </w:pPr>
      <w:r>
        <w:rPr>
          <w:rFonts w:ascii="Arial" w:hAnsi="Arial" w:eastAsia="宋体"/>
          <w:b w:val="0"/>
          <w:color w:val="000000"/>
          <w:sz w:val="21"/>
        </w:rPr>
        <w:t>17 系统治疗：广泛或全身症状时系统抗菌结合本地耐药；不自动开联合抗菌。不得自动填写剂量频次疗程或疗效，联合07核药物状态。</w:t>
      </w:r>
    </w:p>
    <w:p>
      <w:pPr>
        <w:spacing w:after="100"/>
      </w:pPr>
      <w:r>
        <w:rPr>
          <w:rFonts w:ascii="Arial" w:hAnsi="Arial" w:eastAsia="宋体"/>
          <w:b w:val="0"/>
          <w:color w:val="000000"/>
          <w:sz w:val="21"/>
        </w:rPr>
        <w:t>18 皮肤治疗操作：必要时脓液取材，避免将自挤写作正式引流；操作前后按05，拟实施不得写已实施。</w:t>
      </w:r>
    </w:p>
    <w:p>
      <w:pPr>
        <w:spacing w:after="100"/>
      </w:pPr>
      <w:r>
        <w:rPr>
          <w:rFonts w:ascii="Arial" w:hAnsi="Arial" w:eastAsia="宋体"/>
          <w:b w:val="0"/>
          <w:color w:val="000000"/>
          <w:sz w:val="21"/>
        </w:rPr>
        <w:t>19 相关并发症：优先识别发热、扩散、婴幼儿剥脱或免疫抑制者需升级评估；继发感染、瘢痕及药物反应均要实际证据，风险不等已经发生。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病例特点：【真实病史，重点接触、抓破、剃毛、复发、用药及免疫状态；当次脓疱、蜜黄色痂或毛囊性丘疹，按实见分布】</w:t>
        <w:br/>
        <w:t>初步诊断：【脓疱疮及细菌性毛囊炎的实际确定度】</w:t>
        <w:br/>
        <w:t>诊断依据：【实际不典型复发或严重时培养药敏；表面菌不自动深部感染】</w:t>
        <w:br/>
        <w:t>鉴别诊断：【疱疹、接触性皮炎、真菌性毛囊炎、无菌性脓疱病的支持反对缺口】</w:t>
        <w:br/>
        <w:t>诊疗计划：【医师确认的有限局部感染按医师选外用抗菌，避免无限疗程及必要检查监测；计划与执行分开】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脓疱、蜜黄色痂或毛囊性丘疹，按实见分布的实见部分及黏膜全身】，检查【当时可知结果】。目前考虑【诊断及确定度】，实际治疗【真实执行】，本日重点观察【表浅局限与广泛系统症状分开】，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脓疱疮及细菌性毛囊炎当前活动及真实治疗执行、短期反应】，关注【发热、扩散、婴幼儿剥脱或免疫抑制者需升级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不典型复发或严重时培养药敏；表面菌不自动深部感染与形态对应、疱疹、接触性皮炎、真菌性毛囊炎、无菌性脓疱病的鉴别及表浅局限与广泛系统症状分开】，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脓疱疮及细菌性毛囊炎疑难证据及系统风险】，就【广泛或全身症状时系统抗菌结合本地耐药；不自动开联合抗菌涉及的本例重大决策】提出【真实策略与条件】，长期重点【卫生及接触传播教育，复发查诱因而非默认耐药菌】，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表浅局限与广泛系统症状分开的真实变化及安全检查】，医师决定【实际药物或局部方案】由【原方案】调整为【新方案】，原因【证据】，当前处方及执行【分别状态】，监测【本例发热、扩散、婴幼儿剥脱或免疫抑制者需升级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必要时脓液取材，避免将自挤写作正式引流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扩散、婴幼儿剥脱或免疫抑制者需升级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诊疗经过：【不典型复发或严重时培养药敏；表面菌不自动深部感染的实际结果、药物操作及转归】</w:t>
        <w:br/>
        <w:t>出院诊断：【确定度与版本】</w:t>
        <w:br/>
        <w:t>出院情况：【当次皮损黏膜全身实查】</w:t>
        <w:br/>
        <w:t>医嘱和未决事项：【卫生及接触传播教育，复发查诱因而非默认耐药菌中适用的确认方案及责任】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护理：【有限局部感染按医师选外用抗菌，避免无限疗程中已确认部分】</w:t>
        <w:br/>
        <w:t>复诊及监测：【本例实际项目时点责任】</w:t>
        <w:br/>
        <w:t>警示：【发热、扩散、婴幼儿剥脱或免疫抑制者需升级评估中需要患者识别的事项】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长期随访：卫生及接触传播教育，复发查诱因而非默认耐药菌。具体项目、复查频率和责任人来自已确认方案，不统一套固定周期。</w:t>
      </w:r>
    </w:p>
    <w:p>
      <w:pPr>
        <w:spacing w:after="100"/>
      </w:pPr>
      <w:r>
        <w:rPr>
          <w:rFonts w:ascii="Arial" w:hAnsi="Arial" w:eastAsia="宋体"/>
          <w:b w:val="0"/>
          <w:color w:val="000000"/>
          <w:sz w:val="21"/>
        </w:rPr>
        <w:t>31 最终质控：重点核对不典型复发或严重时培养药敏；表面菌不自动深部感染及表浅局限与广泛系统症状分开；防止将典型表现当事实、风险当并发症、拟治疗当执行。查房层级与真实意见及代码框经10终审。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81" w:name="b81"/>
      <w:pPr>
        <w:pStyle w:val="Heading2"/>
      </w:pPr>
      <w:r>
        <w:t>02 疖痈及皮肤脓肿</w:t>
      </w:r>
      <w:bookmarkEnd w:id="81"/>
    </w:p>
    <w:p>
      <w:pPr>
        <w:spacing w:after="100"/>
      </w:pPr>
      <w:r>
        <w:rPr>
          <w:rFonts w:ascii="Arial" w:hAnsi="Arial" w:eastAsia="宋体"/>
          <w:b w:val="0"/>
          <w:color w:val="000000"/>
          <w:sz w:val="21"/>
        </w:rPr>
        <w:t>01 疾病定义：毛囊深部或局部化脓感染形成脓腔。该定义是专业知识，不能代替本例诊断。</w:t>
      </w:r>
    </w:p>
    <w:p>
      <w:pPr>
        <w:spacing w:after="100"/>
      </w:pPr>
      <w:r>
        <w:rPr>
          <w:rFonts w:ascii="Arial" w:hAnsi="Arial" w:eastAsia="宋体"/>
          <w:b w:val="0"/>
          <w:color w:val="000000"/>
          <w:sz w:val="21"/>
        </w:rPr>
        <w:t>02 病因及发病机制：围绕毛囊深部或局部化脓感染形成脓腔采集相关线索；患者病因只写已核证据，未证实时保留可能性。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临床表现：症状、全身受累及变化按实际病史与检查；重点核实病程、糖尿病、复发、既往引流和抗菌。</w:t>
      </w:r>
    </w:p>
    <w:p>
      <w:pPr>
        <w:spacing w:after="100"/>
      </w:pPr>
      <w:r>
        <w:rPr>
          <w:rFonts w:ascii="Arial" w:hAnsi="Arial" w:eastAsia="宋体"/>
          <w:b w:val="0"/>
          <w:color w:val="000000"/>
          <w:sz w:val="21"/>
        </w:rPr>
        <w:t>04 典型皮损形态：疼痛结节、波动及引流口需实际触诊确认。典型性只用于鉴别，不自动添加到患者查体。</w:t>
      </w:r>
    </w:p>
    <w:p>
      <w:pPr>
        <w:spacing w:after="100"/>
      </w:pPr>
      <w:r>
        <w:rPr>
          <w:rFonts w:ascii="Arial" w:hAnsi="Arial" w:eastAsia="宋体"/>
          <w:b w:val="0"/>
          <w:color w:val="000000"/>
          <w:sz w:val="21"/>
        </w:rPr>
        <w:t>05 皮损部位及分布：逐病灶记录疼痛结节、波动及引流口需实际触诊确认涉及的实际部位侧别、数量排列对称和范围；不补“全身”。</w:t>
      </w:r>
    </w:p>
    <w:p>
      <w:pPr>
        <w:spacing w:after="100"/>
      </w:pPr>
      <w:r>
        <w:rPr>
          <w:rFonts w:ascii="Arial" w:hAnsi="Arial" w:eastAsia="宋体"/>
          <w:b w:val="0"/>
          <w:color w:val="000000"/>
          <w:sz w:val="21"/>
        </w:rPr>
        <w:t>06 病史采集重点：病程、糖尿病、复发、既往引流和抗菌；保留发病与发现、首次与复发、用药计划与执行的差别。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专科检查：按03实查原发继发皮损、黏膜、毛发甲及必要触诊，围绕单发多发、脓腔深度、危险解剖部位和全身反应记录而不强行检查无关项目。</w:t>
      </w:r>
    </w:p>
    <w:p>
      <w:pPr>
        <w:spacing w:after="100"/>
      </w:pPr>
      <w:r>
        <w:rPr>
          <w:rFonts w:ascii="Arial" w:hAnsi="Arial" w:eastAsia="宋体"/>
          <w:b w:val="0"/>
          <w:color w:val="000000"/>
          <w:sz w:val="21"/>
        </w:rPr>
        <w:t>08 实验室检查：深度不明可超声，脓液培养与血培养各按指征；检查项目按问题选择，未做不写正常。</w:t>
      </w:r>
    </w:p>
    <w:p>
      <w:pPr>
        <w:spacing w:after="100"/>
      </w:pPr>
      <w:r>
        <w:rPr>
          <w:rFonts w:ascii="Arial" w:hAnsi="Arial" w:eastAsia="宋体"/>
          <w:b w:val="0"/>
          <w:color w:val="000000"/>
          <w:sz w:val="21"/>
        </w:rPr>
        <w:t>09 皮肤镜或其他辅助检查：围绕深度不明可超声，脓液培养与血培养各按指征选择必要辅查；没有特定指征不常规添加皮肤镜，普通照不当镜图。</w:t>
      </w:r>
    </w:p>
    <w:p>
      <w:pPr>
        <w:spacing w:after="100"/>
      </w:pPr>
      <w:r>
        <w:rPr>
          <w:rFonts w:ascii="Arial" w:hAnsi="Arial" w:eastAsia="宋体"/>
          <w:b w:val="0"/>
          <w:color w:val="000000"/>
          <w:sz w:val="21"/>
        </w:rPr>
        <w:t>10 病理及免疫检查：切开引流须真实部位麻醉所见引流填塞记录；不能自拟操作结果。HE、DIF、IIF及抗体按实际诊断问题选择，非典型或疑难再评取材；无适应证不强制。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诊断标准：采用可核实的适用临床及专科体系，深度不明可超声，脓液培养与血培养各按指征；未核全文的评分标准不得凭题录复造。</w:t>
      </w:r>
    </w:p>
    <w:p>
      <w:pPr>
        <w:spacing w:after="100"/>
      </w:pPr>
      <w:r>
        <w:rPr>
          <w:rFonts w:ascii="Arial" w:hAnsi="Arial" w:eastAsia="宋体"/>
          <w:b w:val="0"/>
          <w:color w:val="000000"/>
          <w:sz w:val="21"/>
        </w:rPr>
        <w:t>12 诊断依据：逐条将实际疼痛结节、波动及引流口需实际触诊确认与深度不明可超声，脓液培养与血培养各按指征对应；写本例支持、反对及尚缺证据，保持疑似/初诊/确诊确定度。</w:t>
      </w:r>
    </w:p>
    <w:p>
      <w:pPr>
        <w:spacing w:after="100"/>
      </w:pPr>
      <w:r>
        <w:rPr>
          <w:rFonts w:ascii="Arial" w:hAnsi="Arial" w:eastAsia="宋体"/>
          <w:b w:val="0"/>
          <w:color w:val="000000"/>
          <w:sz w:val="21"/>
        </w:rPr>
        <w:t>13 鉴别诊断：炎性囊肿、化脓性汗腺炎、非感染性结节。每项基于本例支持、反对和下一步验证，不机械写全部排除。</w:t>
      </w:r>
    </w:p>
    <w:p>
      <w:pPr>
        <w:spacing w:after="100"/>
      </w:pPr>
      <w:r>
        <w:rPr>
          <w:rFonts w:ascii="Arial" w:hAnsi="Arial" w:eastAsia="宋体"/>
          <w:b w:val="0"/>
          <w:color w:val="000000"/>
          <w:sz w:val="21"/>
        </w:rPr>
        <w:t>14 分型分期及严重程度：单发多发、脓腔深度、危险解剖部位和全身反应。评分需体系版本、分项、日期和评估者，缺变量不自动算。</w:t>
      </w:r>
    </w:p>
    <w:p>
      <w:pPr>
        <w:spacing w:after="100"/>
      </w:pPr>
      <w:r>
        <w:rPr>
          <w:rFonts w:ascii="Arial" w:hAnsi="Arial" w:eastAsia="宋体"/>
          <w:b w:val="0"/>
          <w:color w:val="000000"/>
          <w:sz w:val="21"/>
        </w:rPr>
        <w:t>15 危急病情识别：面部危险区、快速扩展、高热低血压须及时外科感染协作。危险状态联合06，不等待文书齐全才处置。</w:t>
      </w:r>
    </w:p>
    <w:p>
      <w:pPr>
        <w:spacing w:after="100"/>
      </w:pPr>
      <w:r>
        <w:rPr>
          <w:rFonts w:ascii="Arial" w:hAnsi="Arial" w:eastAsia="宋体"/>
          <w:b w:val="0"/>
          <w:color w:val="000000"/>
          <w:sz w:val="21"/>
        </w:rPr>
        <w:t>16 外用治疗：表面处理不替代有指征的脓腔引流。该项为决策知识，患者已用与否及用法必须真实。</w:t>
      </w:r>
    </w:p>
    <w:p>
      <w:pPr>
        <w:spacing w:after="100"/>
      </w:pPr>
      <w:r>
        <w:rPr>
          <w:rFonts w:ascii="Arial" w:hAnsi="Arial" w:eastAsia="宋体"/>
          <w:b w:val="0"/>
          <w:color w:val="000000"/>
          <w:sz w:val="21"/>
        </w:rPr>
        <w:t>17 系统治疗：是否系统抗菌结合全身反应、免疫状态和医师意见。不得自动填写剂量频次疗程或疗效，联合07核药物状态。</w:t>
      </w:r>
    </w:p>
    <w:p>
      <w:pPr>
        <w:spacing w:after="100"/>
      </w:pPr>
      <w:r>
        <w:rPr>
          <w:rFonts w:ascii="Arial" w:hAnsi="Arial" w:eastAsia="宋体"/>
          <w:b w:val="0"/>
          <w:color w:val="000000"/>
          <w:sz w:val="21"/>
        </w:rPr>
        <w:t>18 皮肤治疗操作：切开引流须真实部位麻醉所见引流填塞记录；不能自拟操作结果；操作前后按05，拟实施不得写已实施。</w:t>
      </w:r>
    </w:p>
    <w:p>
      <w:pPr>
        <w:spacing w:after="100"/>
      </w:pPr>
      <w:r>
        <w:rPr>
          <w:rFonts w:ascii="Arial" w:hAnsi="Arial" w:eastAsia="宋体"/>
          <w:b w:val="0"/>
          <w:color w:val="000000"/>
          <w:sz w:val="21"/>
        </w:rPr>
        <w:t>19 相关并发症：优先识别面部危险区、快速扩展、高热低血压须及时外科感染协作；继发感染、瘢痕及药物反应均要实际证据，风险不等已经发生。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病例特点：【真实病史，重点病程、糖尿病、复发、既往引流和抗菌；当次疼痛结节、波动及引流口需实际触诊确认】</w:t>
        <w:br/>
        <w:t>初步诊断：【疖痈及皮肤脓肿的实际确定度】</w:t>
        <w:br/>
        <w:t>诊断依据：【实际深度不明可超声，脓液培养与血培养各按指征】</w:t>
        <w:br/>
        <w:t>鉴别诊断：【炎性囊肿、化脓性汗腺炎、非感染性结节的支持反对缺口】</w:t>
        <w:br/>
        <w:t>诊疗计划：【医师确认的表面处理不替代有指征的脓腔引流及必要检查监测；计划与执行分开】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疼痛结节、波动及引流口需实际触诊确认的实见部分及黏膜全身】，检查【当时可知结果】。目前考虑【诊断及确定度】，实际治疗【真实执行】，本日重点观察【单发多发、脓腔深度、危险解剖部位和全身反应】，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疖痈及皮肤脓肿当前活动及真实治疗执行、短期反应】，关注【面部危险区、快速扩展、高热低血压须及时外科感染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深度不明可超声，脓液培养与血培养各按指征与形态对应、炎性囊肿、化脓性汗腺炎、非感染性结节的鉴别及单发多发、脓腔深度、危险解剖部位和全身反应】，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疖痈及皮肤脓肿疑难证据及系统风险】，就【是否系统抗菌结合全身反应、免疫状态和医师意见涉及的本例重大决策】提出【真实策略与条件】，长期重点【记录脓腔、引流量、周围红肿及复发风险】，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单发多发、脓腔深度、危险解剖部位和全身反应的真实变化及安全检查】，医师决定【实际药物或局部方案】由【原方案】调整为【新方案】，原因【证据】，当前处方及执行【分别状态】，监测【本例面部危险区、快速扩展、高热低血压须及时外科感染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切开引流须真实部位麻醉所见引流填塞记录；不能自拟操作结果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面部危险区、快速扩展、高热低血压须及时外科感染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诊疗经过：【深度不明可超声，脓液培养与血培养各按指征的实际结果、药物操作及转归】</w:t>
        <w:br/>
        <w:t>出院诊断：【确定度与版本】</w:t>
        <w:br/>
        <w:t>出院情况：【当次皮损黏膜全身实查】</w:t>
        <w:br/>
        <w:t>医嘱和未决事项：【记录脓腔、引流量、周围红肿及复发风险中适用的确认方案及责任】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护理：【表面处理不替代有指征的脓腔引流中已确认部分】</w:t>
        <w:br/>
        <w:t>复诊及监测：【本例实际项目时点责任】</w:t>
        <w:br/>
        <w:t>警示：【面部危险区、快速扩展、高热低血压须及时外科感染协作中需要患者识别的事项】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长期随访：记录脓腔、引流量、周围红肿及复发风险。具体项目、复查频率和责任人来自已确认方案，不统一套固定周期。</w:t>
      </w:r>
    </w:p>
    <w:p>
      <w:pPr>
        <w:spacing w:after="100"/>
      </w:pPr>
      <w:r>
        <w:rPr>
          <w:rFonts w:ascii="Arial" w:hAnsi="Arial" w:eastAsia="宋体"/>
          <w:b w:val="0"/>
          <w:color w:val="000000"/>
          <w:sz w:val="21"/>
        </w:rPr>
        <w:t>31 最终质控：重点核对深度不明可超声，脓液培养与血培养各按指征及单发多发、脓腔深度、危险解剖部位和全身反应；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124" w:name="b124"/>
      <w:pPr>
        <w:pStyle w:val="Heading2"/>
      </w:pPr>
      <w:r>
        <w:t>03 蜂窝织炎及丹毒</w:t>
      </w:r>
      <w:bookmarkEnd w:id="124"/>
    </w:p>
    <w:p>
      <w:pPr>
        <w:spacing w:after="100"/>
      </w:pPr>
      <w:r>
        <w:rPr>
          <w:rFonts w:ascii="Arial" w:hAnsi="Arial" w:eastAsia="宋体"/>
          <w:b w:val="0"/>
          <w:color w:val="000000"/>
          <w:sz w:val="21"/>
        </w:rPr>
        <w:t>01 疾病定义：真皮皮下软组织感染，丹毒常偏浅且边界较清。该定义是专业知识，不能代替本例诊断。</w:t>
      </w:r>
    </w:p>
    <w:p>
      <w:pPr>
        <w:spacing w:after="100"/>
      </w:pPr>
      <w:r>
        <w:rPr>
          <w:rFonts w:ascii="Arial" w:hAnsi="Arial" w:eastAsia="宋体"/>
          <w:b w:val="0"/>
          <w:color w:val="000000"/>
          <w:sz w:val="21"/>
        </w:rPr>
        <w:t>02 病因及发病机制：围绕真皮皮下软组织感染，丹毒常偏浅且边界较清采集相关线索；患者病因只写已核证据，未证实时保留可能性。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临床表现：症状、全身受累及变化按实际病史与检查；重点核实入口伤口、足癣、淋巴水肿、手术、免疫状态及抗菌。</w:t>
      </w:r>
    </w:p>
    <w:p>
      <w:pPr>
        <w:spacing w:after="100"/>
      </w:pPr>
      <w:r>
        <w:rPr>
          <w:rFonts w:ascii="Arial" w:hAnsi="Arial" w:eastAsia="宋体"/>
          <w:b w:val="0"/>
          <w:color w:val="000000"/>
          <w:sz w:val="21"/>
        </w:rPr>
        <w:t>04 典型皮损形态：红肿热痛范围，触诊温度疼痛不从照片推得。典型性只用于鉴别，不自动添加到患者查体。</w:t>
      </w:r>
    </w:p>
    <w:p>
      <w:pPr>
        <w:spacing w:after="100"/>
      </w:pPr>
      <w:r>
        <w:rPr>
          <w:rFonts w:ascii="Arial" w:hAnsi="Arial" w:eastAsia="宋体"/>
          <w:b w:val="0"/>
          <w:color w:val="000000"/>
          <w:sz w:val="21"/>
        </w:rPr>
        <w:t>05 皮损部位及分布：逐病灶记录红肿热痛范围，触诊温度疼痛不从照片推得涉及的实际部位侧别、数量排列对称和范围；不补“全身”。</w:t>
      </w:r>
    </w:p>
    <w:p>
      <w:pPr>
        <w:spacing w:after="100"/>
      </w:pPr>
      <w:r>
        <w:rPr>
          <w:rFonts w:ascii="Arial" w:hAnsi="Arial" w:eastAsia="宋体"/>
          <w:b w:val="0"/>
          <w:color w:val="000000"/>
          <w:sz w:val="21"/>
        </w:rPr>
        <w:t>06 病史采集重点：入口伤口、足癣、淋巴水肿、手术、免疫状态及抗菌；保留发病与发现、首次与复发、用药计划与执行的差别。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专科检查：按03实查原发继发皮损、黏膜、毛发甲及必要触诊，围绕局部范围与全身严重度分别记录，丹毒不自动指定菌株记录而不强行检查无关项目。</w:t>
      </w:r>
    </w:p>
    <w:p>
      <w:pPr>
        <w:spacing w:after="100"/>
      </w:pPr>
      <w:r>
        <w:rPr>
          <w:rFonts w:ascii="Arial" w:hAnsi="Arial" w:eastAsia="宋体"/>
          <w:b w:val="0"/>
          <w:color w:val="000000"/>
          <w:sz w:val="21"/>
        </w:rPr>
        <w:t>08 实验室检查：生命体征、血常规炎症指标；严重者血培养，影像按深部疑点；检查项目按问题选择，未做不写正常。</w:t>
      </w:r>
    </w:p>
    <w:p>
      <w:pPr>
        <w:spacing w:after="100"/>
      </w:pPr>
      <w:r>
        <w:rPr>
          <w:rFonts w:ascii="Arial" w:hAnsi="Arial" w:eastAsia="宋体"/>
          <w:b w:val="0"/>
          <w:color w:val="000000"/>
          <w:sz w:val="21"/>
        </w:rPr>
        <w:t>09 皮肤镜或其他辅助检查：围绕生命体征、血常规炎症指标；严重者血培养，影像按深部疑点选择必要辅查；没有特定指征不常规添加皮肤镜，普通照不当镜图。</w:t>
      </w:r>
    </w:p>
    <w:p>
      <w:pPr>
        <w:spacing w:after="100"/>
      </w:pPr>
      <w:r>
        <w:rPr>
          <w:rFonts w:ascii="Arial" w:hAnsi="Arial" w:eastAsia="宋体"/>
          <w:b w:val="0"/>
          <w:color w:val="000000"/>
          <w:sz w:val="21"/>
        </w:rPr>
        <w:t>10 病理及免疫检查：存在脓腔或坏死时外科协作；影像阴性不延误高度怀疑者。HE、DIF、IIF及抗体按实际诊断问题选择，非典型或疑难再评取材；无适应证不强制。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诊断标准：采用可核实的适用临床及专科体系，生命体征、血常规炎症指标；严重者血培养，影像按深部疑点；未核全文的评分标准不得凭题录复造。</w:t>
      </w:r>
    </w:p>
    <w:p>
      <w:pPr>
        <w:spacing w:after="100"/>
      </w:pPr>
      <w:r>
        <w:rPr>
          <w:rFonts w:ascii="Arial" w:hAnsi="Arial" w:eastAsia="宋体"/>
          <w:b w:val="0"/>
          <w:color w:val="000000"/>
          <w:sz w:val="21"/>
        </w:rPr>
        <w:t>12 诊断依据：逐条将实际红肿热痛范围，触诊温度疼痛不从照片推得与生命体征、血常规炎症指标；严重者血培养，影像按深部疑点对应；写本例支持、反对及尚缺证据，保持疑似/初诊/确诊确定度。</w:t>
      </w:r>
    </w:p>
    <w:p>
      <w:pPr>
        <w:spacing w:after="100"/>
      </w:pPr>
      <w:r>
        <w:rPr>
          <w:rFonts w:ascii="Arial" w:hAnsi="Arial" w:eastAsia="宋体"/>
          <w:b w:val="0"/>
          <w:color w:val="000000"/>
          <w:sz w:val="21"/>
        </w:rPr>
        <w:t>13 鉴别诊断：静脉淤积性皮炎、接触性皮炎、DVT、坏死性感染。每项基于本例支持、反对和下一步验证，不机械写全部排除。</w:t>
      </w:r>
    </w:p>
    <w:p>
      <w:pPr>
        <w:spacing w:after="100"/>
      </w:pPr>
      <w:r>
        <w:rPr>
          <w:rFonts w:ascii="Arial" w:hAnsi="Arial" w:eastAsia="宋体"/>
          <w:b w:val="0"/>
          <w:color w:val="000000"/>
          <w:sz w:val="21"/>
        </w:rPr>
        <w:t>14 分型分期及严重程度：局部范围与全身严重度分别记录，丹毒不自动指定菌株。评分需体系版本、分项、日期和评估者，缺变量不自动算。</w:t>
      </w:r>
    </w:p>
    <w:p>
      <w:pPr>
        <w:spacing w:after="100"/>
      </w:pPr>
      <w:r>
        <w:rPr>
          <w:rFonts w:ascii="Arial" w:hAnsi="Arial" w:eastAsia="宋体"/>
          <w:b w:val="0"/>
          <w:color w:val="000000"/>
          <w:sz w:val="21"/>
        </w:rPr>
        <w:t>15 危急病情识别：疼痛不成比例、进展快、大疱坏死、低压须急排坏死性感染。危险状态联合06，不等待文书齐全才处置。</w:t>
      </w:r>
    </w:p>
    <w:p>
      <w:pPr>
        <w:spacing w:after="100"/>
      </w:pPr>
      <w:r>
        <w:rPr>
          <w:rFonts w:ascii="Arial" w:hAnsi="Arial" w:eastAsia="宋体"/>
          <w:b w:val="0"/>
          <w:color w:val="000000"/>
          <w:sz w:val="21"/>
        </w:rPr>
        <w:t>16 外用治疗：伤口护理和抬高等依医师意见，不从诊断自动湿敷。该项为决策知识，患者已用与否及用法必须真实。</w:t>
      </w:r>
    </w:p>
    <w:p>
      <w:pPr>
        <w:spacing w:after="100"/>
      </w:pPr>
      <w:r>
        <w:rPr>
          <w:rFonts w:ascii="Arial" w:hAnsi="Arial" w:eastAsia="宋体"/>
          <w:b w:val="0"/>
          <w:color w:val="000000"/>
          <w:sz w:val="21"/>
        </w:rPr>
        <w:t>17 系统治疗：系统抗菌由医师按临床和本地资料决定，记录开始调整停用。不得自动填写剂量频次疗程或疗效，联合07核药物状态。</w:t>
      </w:r>
    </w:p>
    <w:p>
      <w:pPr>
        <w:spacing w:after="100"/>
      </w:pPr>
      <w:r>
        <w:rPr>
          <w:rFonts w:ascii="Arial" w:hAnsi="Arial" w:eastAsia="宋体"/>
          <w:b w:val="0"/>
          <w:color w:val="000000"/>
          <w:sz w:val="21"/>
        </w:rPr>
        <w:t>18 皮肤治疗操作：存在脓腔或坏死时外科协作；影像阴性不延误高度怀疑者；操作前后按05，拟实施不得写已实施。</w:t>
      </w:r>
    </w:p>
    <w:p>
      <w:pPr>
        <w:spacing w:after="100"/>
      </w:pPr>
      <w:r>
        <w:rPr>
          <w:rFonts w:ascii="Arial" w:hAnsi="Arial" w:eastAsia="宋体"/>
          <w:b w:val="0"/>
          <w:color w:val="000000"/>
          <w:sz w:val="21"/>
        </w:rPr>
        <w:t>19 相关并发症：优先识别疼痛不成比例、进展快、大疱坏死、低压须急排坏死性感染；继发感染、瘢痕及药物反应均要实际证据，风险不等已经发生。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病例特点：【真实病史，重点入口伤口、足癣、淋巴水肿、手术、免疫状态及抗菌；当次红肿热痛范围，触诊温度疼痛不从照片推得】</w:t>
        <w:br/>
        <w:t>初步诊断：【蜂窝织炎及丹毒的实际确定度】</w:t>
        <w:br/>
        <w:t>诊断依据：【实际生命体征、血常规炎症指标；严重者血培养，影像按深部疑点】</w:t>
        <w:br/>
        <w:t>鉴别诊断：【静脉淤积性皮炎、接触性皮炎、DVT、坏死性感染的支持反对缺口】</w:t>
        <w:br/>
        <w:t>诊疗计划：【医师确认的伤口护理和抬高等依医师意见，不从诊断自动湿敷及必要检查监测；计划与执行分开】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红肿热痛范围，触诊温度疼痛不从照片推得的实见部分及黏膜全身】，检查【当时可知结果】。目前考虑【诊断及确定度】，实际治疗【真实执行】，本日重点观察【局部范围与全身严重度分别记录，丹毒不自动指定菌株】，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蜂窝织炎及丹毒当前活动及真实治疗执行、短期反应】，关注【疼痛不成比例、进展快、大疱坏死、低压须急排坏死性感染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生命体征、血常规炎症指标；严重者血培养，影像按深部疑点与形态对应、静脉淤积性皮炎、接触性皮炎、DVT、坏死性感染的鉴别及局部范围与全身严重度分别记录，丹毒不自动指定菌株】，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蜂窝织炎及丹毒疑难证据及系统风险】，就【系统抗菌由医师按临床和本地资料决定，记录开始调整停用涉及的本例重大决策】提出【真实策略与条件】，长期重点【范围可标界并记时间，区分炎症消退与色沉残留】，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局部范围与全身严重度分别记录，丹毒不自动指定菌株的真实变化及安全检查】，医师决定【实际药物或局部方案】由【原方案】调整为【新方案】，原因【证据】，当前处方及执行【分别状态】，监测【本例疼痛不成比例、进展快、大疱坏死、低压须急排坏死性感染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存在脓腔或坏死时外科协作；影像阴性不延误高度怀疑者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疼痛不成比例、进展快、大疱坏死、低压须急排坏死性感染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诊疗经过：【生命体征、血常规炎症指标；严重者血培养，影像按深部疑点的实际结果、药物操作及转归】</w:t>
        <w:br/>
        <w:t>出院诊断：【确定度与版本】</w:t>
        <w:br/>
        <w:t>出院情况：【当次皮损黏膜全身实查】</w:t>
        <w:br/>
        <w:t>医嘱和未决事项：【范围可标界并记时间，区分炎症消退与色沉残留中适用的确认方案及责任】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护理：【伤口护理和抬高等依医师意见，不从诊断自动湿敷中已确认部分】</w:t>
        <w:br/>
        <w:t>复诊及监测：【本例实际项目时点责任】</w:t>
        <w:br/>
        <w:t>警示：【疼痛不成比例、进展快、大疱坏死、低压须急排坏死性感染中需要患者识别的事项】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长期随访：范围可标界并记时间，区分炎症消退与色沉残留。具体项目、复查频率和责任人来自已确认方案，不统一套固定周期。</w:t>
      </w:r>
    </w:p>
    <w:p>
      <w:pPr>
        <w:spacing w:after="100"/>
      </w:pPr>
      <w:r>
        <w:rPr>
          <w:rFonts w:ascii="Arial" w:hAnsi="Arial" w:eastAsia="宋体"/>
          <w:b w:val="0"/>
          <w:color w:val="000000"/>
          <w:sz w:val="21"/>
        </w:rPr>
        <w:t>31 最终质控：重点核对生命体征、血常规炎症指标；严重者血培养，影像按深部疑点及局部范围与全身严重度分别记录，丹毒不自动指定菌株；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167" w:name="b167"/>
      <w:pPr>
        <w:pStyle w:val="Heading2"/>
      </w:pPr>
      <w:r>
        <w:t>04 浅部皮肤真菌病</w:t>
      </w:r>
      <w:bookmarkEnd w:id="167"/>
    </w:p>
    <w:p>
      <w:pPr>
        <w:spacing w:after="100"/>
      </w:pPr>
      <w:r>
        <w:rPr>
          <w:rFonts w:ascii="Arial" w:hAnsi="Arial" w:eastAsia="宋体"/>
          <w:b w:val="0"/>
          <w:color w:val="000000"/>
          <w:sz w:val="21"/>
        </w:rPr>
        <w:t>01 疾病定义：皮肤癣菌或其他真菌相关感染须证据整合。该定义是专业知识，不能代替本例诊断。</w:t>
      </w:r>
    </w:p>
    <w:p>
      <w:pPr>
        <w:spacing w:after="100"/>
      </w:pPr>
      <w:r>
        <w:rPr>
          <w:rFonts w:ascii="Arial" w:hAnsi="Arial" w:eastAsia="宋体"/>
          <w:b w:val="0"/>
          <w:color w:val="000000"/>
          <w:sz w:val="21"/>
        </w:rPr>
        <w:t>02 病因及发病机制：围绕皮肤癣菌或其他真菌相关感染须证据整合采集相关线索；患者病因只写已核证据，未证实时保留可能性。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临床表现：症状、全身受累及变化按实际病史与检查；重点核实接触者动物、潮湿、激素外用及复发，记录取材前用药。</w:t>
      </w:r>
    </w:p>
    <w:p>
      <w:pPr>
        <w:spacing w:after="100"/>
      </w:pPr>
      <w:r>
        <w:rPr>
          <w:rFonts w:ascii="Arial" w:hAnsi="Arial" w:eastAsia="宋体"/>
          <w:b w:val="0"/>
          <w:color w:val="000000"/>
          <w:sz w:val="21"/>
        </w:rPr>
        <w:t>04 典型皮损形态：体股环状鳞屑、手足趾间浸渍或掌跖角化等分别描述。典型性只用于鉴别，不自动添加到患者查体。</w:t>
      </w:r>
    </w:p>
    <w:p>
      <w:pPr>
        <w:spacing w:after="100"/>
      </w:pPr>
      <w:r>
        <w:rPr>
          <w:rFonts w:ascii="Arial" w:hAnsi="Arial" w:eastAsia="宋体"/>
          <w:b w:val="0"/>
          <w:color w:val="000000"/>
          <w:sz w:val="21"/>
        </w:rPr>
        <w:t>05 皮损部位及分布：逐病灶记录体股环状鳞屑、手足趾间浸渍或掌跖角化等分别描述涉及的实际部位侧别、数量排列对称和范围；不补“全身”。</w:t>
      </w:r>
    </w:p>
    <w:p>
      <w:pPr>
        <w:spacing w:after="100"/>
      </w:pPr>
      <w:r>
        <w:rPr>
          <w:rFonts w:ascii="Arial" w:hAnsi="Arial" w:eastAsia="宋体"/>
          <w:b w:val="0"/>
          <w:color w:val="000000"/>
          <w:sz w:val="21"/>
        </w:rPr>
        <w:t>06 病史采集重点：接触者动物、潮湿、激素外用及复发，记录取材前用药；保留发病与发现、首次与复发、用药计划与执行的差别。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专科检查：按03实查原发继发皮损、黏膜、毛发甲及必要触诊，围绕体癣股癣手癣足癣分别定位；深部、广泛和免疫抑制另评记录而不强行检查无关项目。</w:t>
      </w:r>
    </w:p>
    <w:p>
      <w:pPr>
        <w:spacing w:after="100"/>
      </w:pPr>
      <w:r>
        <w:rPr>
          <w:rFonts w:ascii="Arial" w:hAnsi="Arial" w:eastAsia="宋体"/>
          <w:b w:val="0"/>
          <w:color w:val="000000"/>
          <w:sz w:val="21"/>
        </w:rPr>
        <w:t>08 实验室检查：活动边缘刮取镜检培养按指征；一次阴性不能机械排除；检查项目按问题选择，未做不写正常。</w:t>
      </w:r>
    </w:p>
    <w:p>
      <w:pPr>
        <w:spacing w:after="100"/>
      </w:pPr>
      <w:r>
        <w:rPr>
          <w:rFonts w:ascii="Arial" w:hAnsi="Arial" w:eastAsia="宋体"/>
          <w:b w:val="0"/>
          <w:color w:val="000000"/>
          <w:sz w:val="21"/>
        </w:rPr>
        <w:t>09 皮肤镜或其他辅助检查：围绕活动边缘刮取镜检培养按指征；一次阴性不能机械排除选择必要辅查；没有特定指征不常规添加皮肤镜，普通照不当镜图。</w:t>
      </w:r>
    </w:p>
    <w:p>
      <w:pPr>
        <w:spacing w:after="100"/>
      </w:pPr>
      <w:r>
        <w:rPr>
          <w:rFonts w:ascii="Arial" w:hAnsi="Arial" w:eastAsia="宋体"/>
          <w:b w:val="0"/>
          <w:color w:val="000000"/>
          <w:sz w:val="21"/>
        </w:rPr>
        <w:t>10 病理及免疫检查：取材记录部位和日期；不把所有鳞屑预写镜检阳性。HE、DIF、IIF及抗体按实际诊断问题选择，非典型或疑难再评取材；无适应证不强制。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诊断标准：采用可核实的适用临床及专科体系，活动边缘刮取镜检培养按指征；一次阴性不能机械排除；未核全文的评分标准不得凭题录复造。</w:t>
      </w:r>
    </w:p>
    <w:p>
      <w:pPr>
        <w:spacing w:after="100"/>
      </w:pPr>
      <w:r>
        <w:rPr>
          <w:rFonts w:ascii="Arial" w:hAnsi="Arial" w:eastAsia="宋体"/>
          <w:b w:val="0"/>
          <w:color w:val="000000"/>
          <w:sz w:val="21"/>
        </w:rPr>
        <w:t>12 诊断依据：逐条将实际体股环状鳞屑、手足趾间浸渍或掌跖角化等分别描述与活动边缘刮取镜检培养按指征；一次阴性不能机械排除对应；写本例支持、反对及尚缺证据，保持疑似/初诊/确诊确定度。</w:t>
      </w:r>
    </w:p>
    <w:p>
      <w:pPr>
        <w:spacing w:after="100"/>
      </w:pPr>
      <w:r>
        <w:rPr>
          <w:rFonts w:ascii="Arial" w:hAnsi="Arial" w:eastAsia="宋体"/>
          <w:b w:val="0"/>
          <w:color w:val="000000"/>
          <w:sz w:val="21"/>
        </w:rPr>
        <w:t>13 鉴别诊断：湿疹、银屑病、红癣、念珠菌间擦及环状非感染疹。每项基于本例支持、反对和下一步验证，不机械写全部排除。</w:t>
      </w:r>
    </w:p>
    <w:p>
      <w:pPr>
        <w:spacing w:after="100"/>
      </w:pPr>
      <w:r>
        <w:rPr>
          <w:rFonts w:ascii="Arial" w:hAnsi="Arial" w:eastAsia="宋体"/>
          <w:b w:val="0"/>
          <w:color w:val="000000"/>
          <w:sz w:val="21"/>
        </w:rPr>
        <w:t>14 分型分期及严重程度：体癣股癣手癣足癣分别定位；深部、广泛和免疫抑制另评。评分需体系版本、分项、日期和评估者，缺变量不自动算。</w:t>
      </w:r>
    </w:p>
    <w:p>
      <w:pPr>
        <w:spacing w:after="100"/>
      </w:pPr>
      <w:r>
        <w:rPr>
          <w:rFonts w:ascii="Arial" w:hAnsi="Arial" w:eastAsia="宋体"/>
          <w:b w:val="0"/>
          <w:color w:val="000000"/>
          <w:sz w:val="21"/>
        </w:rPr>
        <w:t>15 危急病情识别：发热结节溃疡、免疫抑制或蜂窝织炎提示复杂感染。危险状态联合06，不等待文书齐全才处置。</w:t>
      </w:r>
    </w:p>
    <w:p>
      <w:pPr>
        <w:spacing w:after="100"/>
      </w:pPr>
      <w:r>
        <w:rPr>
          <w:rFonts w:ascii="Arial" w:hAnsi="Arial" w:eastAsia="宋体"/>
          <w:b w:val="0"/>
          <w:color w:val="000000"/>
          <w:sz w:val="21"/>
        </w:rPr>
        <w:t>16 外用治疗：确有适应证时外用抗真菌，不能把复方激素当证实病因。该项为决策知识，患者已用与否及用法必须真实。</w:t>
      </w:r>
    </w:p>
    <w:p>
      <w:pPr>
        <w:spacing w:after="100"/>
      </w:pPr>
      <w:r>
        <w:rPr>
          <w:rFonts w:ascii="Arial" w:hAnsi="Arial" w:eastAsia="宋体"/>
          <w:b w:val="0"/>
          <w:color w:val="000000"/>
          <w:sz w:val="21"/>
        </w:rPr>
        <w:t>17 系统治疗：广泛难治或毛囊深部受累再评系统抗真菌，核肝肾及相互作用。不得自动填写剂量频次疗程或疗效，联合07核药物状态。</w:t>
      </w:r>
    </w:p>
    <w:p>
      <w:pPr>
        <w:spacing w:after="100"/>
      </w:pPr>
      <w:r>
        <w:rPr>
          <w:rFonts w:ascii="Arial" w:hAnsi="Arial" w:eastAsia="宋体"/>
          <w:b w:val="0"/>
          <w:color w:val="000000"/>
          <w:sz w:val="21"/>
        </w:rPr>
        <w:t>18 皮肤治疗操作：取材记录部位和日期；不把所有鳞屑预写镜检阳性；操作前后按05，拟实施不得写已实施。</w:t>
      </w:r>
    </w:p>
    <w:p>
      <w:pPr>
        <w:spacing w:after="100"/>
      </w:pPr>
      <w:r>
        <w:rPr>
          <w:rFonts w:ascii="Arial" w:hAnsi="Arial" w:eastAsia="宋体"/>
          <w:b w:val="0"/>
          <w:color w:val="000000"/>
          <w:sz w:val="21"/>
        </w:rPr>
        <w:t>19 相关并发症：优先识别发热结节溃疡、免疫抑制或蜂窝织炎提示复杂感染；继发感染、瘢痕及药物反应均要实际证据，风险不等已经发生。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病例特点：【真实病史，重点接触者动物、潮湿、激素外用及复发，记录取材前用药；当次体股环状鳞屑、手足趾间浸渍或掌跖角化等分别描述】</w:t>
        <w:br/>
        <w:t>初步诊断：【浅部皮肤真菌病的实际确定度】</w:t>
        <w:br/>
        <w:t>诊断依据：【实际活动边缘刮取镜检培养按指征；一次阴性不能机械排除】</w:t>
        <w:br/>
        <w:t>鉴别诊断：【湿疹、银屑病、红癣、念珠菌间擦及环状非感染疹的支持反对缺口】</w:t>
        <w:br/>
        <w:t>诊疗计划：【医师确认的确有适应证时外用抗真菌，不能把复方激素当证实病因及必要检查监测；计划与执行分开】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体股环状鳞屑、手足趾间浸渍或掌跖角化等分别描述的实见部分及黏膜全身】，检查【当时可知结果】。目前考虑【诊断及确定度】，实际治疗【真实执行】，本日重点观察【体癣股癣手癣足癣分别定位；深部、广泛和免疫抑制另评】，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浅部皮肤真菌病当前活动及真实治疗执行、短期反应】，关注【发热结节溃疡、免疫抑制或蜂窝织炎提示复杂感染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活动边缘刮取镜检培养按指征；一次阴性不能机械排除与形态对应、湿疹、银屑病、红癣、念珠菌间擦及环状非感染疹的鉴别及体癣股癣手癣足癣分别定位；深部、广泛和免疫抑制另评】，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浅部皮肤真菌病疑难证据及系统风险】，就【广泛难治或毛囊深部受累再评系统抗真菌，核肝肾及相互作用涉及的本例重大决策】提出【真实策略与条件】，长期重点【同步评估足甲感染源、复发和实际真菌学结果】，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体癣股癣手癣足癣分别定位；深部、广泛和免疫抑制另评的真实变化及安全检查】，医师决定【实际药物或局部方案】由【原方案】调整为【新方案】，原因【证据】，当前处方及执行【分别状态】，监测【本例发热结节溃疡、免疫抑制或蜂窝织炎提示复杂感染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材记录部位和日期；不把所有鳞屑预写镜检阳性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结节溃疡、免疫抑制或蜂窝织炎提示复杂感染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诊疗经过：【活动边缘刮取镜检培养按指征；一次阴性不能机械排除的实际结果、药物操作及转归】</w:t>
        <w:br/>
        <w:t>出院诊断：【确定度与版本】</w:t>
        <w:br/>
        <w:t>出院情况：【当次皮损黏膜全身实查】</w:t>
        <w:br/>
        <w:t>医嘱和未决事项：【同步评估足甲感染源、复发和实际真菌学结果中适用的确认方案及责任】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护理：【确有适应证时外用抗真菌，不能把复方激素当证实病因中已确认部分】</w:t>
        <w:br/>
        <w:t>复诊及监测：【本例实际项目时点责任】</w:t>
        <w:br/>
        <w:t>警示：【发热结节溃疡、免疫抑制或蜂窝织炎提示复杂感染中需要患者识别的事项】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长期随访：同步评估足甲感染源、复发和实际真菌学结果。具体项目、复查频率和责任人来自已确认方案，不统一套固定周期。</w:t>
      </w:r>
    </w:p>
    <w:p>
      <w:pPr>
        <w:spacing w:after="100"/>
      </w:pPr>
      <w:r>
        <w:rPr>
          <w:rFonts w:ascii="Arial" w:hAnsi="Arial" w:eastAsia="宋体"/>
          <w:b w:val="0"/>
          <w:color w:val="000000"/>
          <w:sz w:val="21"/>
        </w:rPr>
        <w:t>31 最终质控：重点核对活动边缘刮取镜检培养按指征；一次阴性不能机械排除及体癣股癣手癣足癣分别定位；深部、广泛和免疫抑制另评；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210" w:name="b210"/>
      <w:pPr>
        <w:pStyle w:val="Heading2"/>
      </w:pPr>
      <w:r>
        <w:t>05 甲真菌病</w:t>
      </w:r>
      <w:bookmarkEnd w:id="210"/>
    </w:p>
    <w:p>
      <w:pPr>
        <w:spacing w:after="100"/>
      </w:pPr>
      <w:r>
        <w:rPr>
          <w:rFonts w:ascii="Arial" w:hAnsi="Arial" w:eastAsia="宋体"/>
          <w:b w:val="0"/>
          <w:color w:val="000000"/>
          <w:sz w:val="21"/>
        </w:rPr>
        <w:t>01 疾病定义：甲板甲床相关真菌感染，应与非真菌甲改变区分。该定义是专业知识，不能代替本例诊断。</w:t>
      </w:r>
    </w:p>
    <w:p>
      <w:pPr>
        <w:spacing w:after="100"/>
      </w:pPr>
      <w:r>
        <w:rPr>
          <w:rFonts w:ascii="Arial" w:hAnsi="Arial" w:eastAsia="宋体"/>
          <w:b w:val="0"/>
          <w:color w:val="000000"/>
          <w:sz w:val="21"/>
        </w:rPr>
        <w:t>02 病因及发病机制：围绕甲板甲床相关真菌感染，应与非真菌甲改变区分采集相关线索；患者病因只写已核证据，未证实时保留可能性。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临床表现：症状、全身受累及变化按实际病史与检查；重点核实甲外伤、足癣、糖尿病及既往疗程。</w:t>
      </w:r>
    </w:p>
    <w:p>
      <w:pPr>
        <w:spacing w:after="100"/>
      </w:pPr>
      <w:r>
        <w:rPr>
          <w:rFonts w:ascii="Arial" w:hAnsi="Arial" w:eastAsia="宋体"/>
          <w:b w:val="0"/>
          <w:color w:val="000000"/>
          <w:sz w:val="21"/>
        </w:rPr>
        <w:t>04 典型皮损形态：甲色变增厚碎屑及甲分离，逐指趾编号。典型性只用于鉴别，不自动添加到患者查体。</w:t>
      </w:r>
    </w:p>
    <w:p>
      <w:pPr>
        <w:spacing w:after="100"/>
      </w:pPr>
      <w:r>
        <w:rPr>
          <w:rFonts w:ascii="Arial" w:hAnsi="Arial" w:eastAsia="宋体"/>
          <w:b w:val="0"/>
          <w:color w:val="000000"/>
          <w:sz w:val="21"/>
        </w:rPr>
        <w:t>05 皮损部位及分布：逐病灶记录甲色变增厚碎屑及甲分离，逐指趾编号涉及的实际部位侧别、数量排列对称和范围；不补“全身”。</w:t>
      </w:r>
    </w:p>
    <w:p>
      <w:pPr>
        <w:spacing w:after="100"/>
      </w:pPr>
      <w:r>
        <w:rPr>
          <w:rFonts w:ascii="Arial" w:hAnsi="Arial" w:eastAsia="宋体"/>
          <w:b w:val="0"/>
          <w:color w:val="000000"/>
          <w:sz w:val="21"/>
        </w:rPr>
        <w:t>06 病史采集重点：甲外伤、足癣、糖尿病及既往疗程；保留发病与发现、首次与复发、用药计划与执行的差别。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专科检查：按03实查原发继发皮损、黏膜、毛发甲及必要触诊，围绕受累甲数、范围和甲母质累及需实查记录而不强行检查无关项目。</w:t>
      </w:r>
    </w:p>
    <w:p>
      <w:pPr>
        <w:spacing w:after="100"/>
      </w:pPr>
      <w:r>
        <w:rPr>
          <w:rFonts w:ascii="Arial" w:hAnsi="Arial" w:eastAsia="宋体"/>
          <w:b w:val="0"/>
          <w:color w:val="000000"/>
          <w:sz w:val="21"/>
        </w:rPr>
        <w:t>08 实验室检查：甲屑镜检培养或病理按适应证；非皮肤癣菌污染与致病须辨别；检查项目按问题选择，未做不写正常。</w:t>
      </w:r>
    </w:p>
    <w:p>
      <w:pPr>
        <w:spacing w:after="100"/>
      </w:pPr>
      <w:r>
        <w:rPr>
          <w:rFonts w:ascii="Arial" w:hAnsi="Arial" w:eastAsia="宋体"/>
          <w:b w:val="0"/>
          <w:color w:val="000000"/>
          <w:sz w:val="21"/>
        </w:rPr>
        <w:t>09 皮肤镜或其他辅助检查：围绕甲屑镜检培养或病理按适应证；非皮肤癣菌污染与致病须辨别选择必要辅查；没有特定指征不常规添加皮肤镜，普通照不当镜图。</w:t>
      </w:r>
    </w:p>
    <w:p>
      <w:pPr>
        <w:spacing w:after="100"/>
      </w:pPr>
      <w:r>
        <w:rPr>
          <w:rFonts w:ascii="Arial" w:hAnsi="Arial" w:eastAsia="宋体"/>
          <w:b w:val="0"/>
          <w:color w:val="000000"/>
          <w:sz w:val="21"/>
        </w:rPr>
        <w:t>10 病理及免疫检查：甲取材和必要清理单独记，不自动拔甲。HE、DIF、IIF及抗体按实际诊断问题选择，非典型或疑难再评取材；无适应证不强制。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诊断标准：采用可核实的适用临床及专科体系，甲屑镜检培养或病理按适应证；非皮肤癣菌污染与致病须辨别；未核全文的评分标准不得凭题录复造。</w:t>
      </w:r>
    </w:p>
    <w:p>
      <w:pPr>
        <w:spacing w:after="100"/>
      </w:pPr>
      <w:r>
        <w:rPr>
          <w:rFonts w:ascii="Arial" w:hAnsi="Arial" w:eastAsia="宋体"/>
          <w:b w:val="0"/>
          <w:color w:val="000000"/>
          <w:sz w:val="21"/>
        </w:rPr>
        <w:t>12 诊断依据：逐条将实际甲色变增厚碎屑及甲分离，逐指趾编号与甲屑镜检培养或病理按适应证；非皮肤癣菌污染与致病须辨别对应；写本例支持、反对及尚缺证据，保持疑似/初诊/确诊确定度。</w:t>
      </w:r>
    </w:p>
    <w:p>
      <w:pPr>
        <w:spacing w:after="100"/>
      </w:pPr>
      <w:r>
        <w:rPr>
          <w:rFonts w:ascii="Arial" w:hAnsi="Arial" w:eastAsia="宋体"/>
          <w:b w:val="0"/>
          <w:color w:val="000000"/>
          <w:sz w:val="21"/>
        </w:rPr>
        <w:t>13 鉴别诊断：银屑病甲、扁平苔藓、甲外伤、甲下肿瘤。每项基于本例支持、反对和下一步验证，不机械写全部排除。</w:t>
      </w:r>
    </w:p>
    <w:p>
      <w:pPr>
        <w:spacing w:after="100"/>
      </w:pPr>
      <w:r>
        <w:rPr>
          <w:rFonts w:ascii="Arial" w:hAnsi="Arial" w:eastAsia="宋体"/>
          <w:b w:val="0"/>
          <w:color w:val="000000"/>
          <w:sz w:val="21"/>
        </w:rPr>
        <w:t>14 分型分期及严重程度：受累甲数、范围和甲母质累及需实查。评分需体系版本、分项、日期和评估者，缺变量不自动算。</w:t>
      </w:r>
    </w:p>
    <w:p>
      <w:pPr>
        <w:spacing w:after="100"/>
      </w:pPr>
      <w:r>
        <w:rPr>
          <w:rFonts w:ascii="Arial" w:hAnsi="Arial" w:eastAsia="宋体"/>
          <w:b w:val="0"/>
          <w:color w:val="000000"/>
          <w:sz w:val="21"/>
        </w:rPr>
        <w:t>15 危急病情识别：糖尿病足、甲周感染或疼痛色素带进展需及时评估。危险状态联合06，不等待文书齐全才处置。</w:t>
      </w:r>
    </w:p>
    <w:p>
      <w:pPr>
        <w:spacing w:after="100"/>
      </w:pPr>
      <w:r>
        <w:rPr>
          <w:rFonts w:ascii="Arial" w:hAnsi="Arial" w:eastAsia="宋体"/>
          <w:b w:val="0"/>
          <w:color w:val="000000"/>
          <w:sz w:val="21"/>
        </w:rPr>
        <w:t>16 外用治疗：外用制剂选择取决于受累程度，记录实际使用。该项为决策知识，患者已用与否及用法必须真实。</w:t>
      </w:r>
    </w:p>
    <w:p>
      <w:pPr>
        <w:spacing w:after="100"/>
      </w:pPr>
      <w:r>
        <w:rPr>
          <w:rFonts w:ascii="Arial" w:hAnsi="Arial" w:eastAsia="宋体"/>
          <w:b w:val="0"/>
          <w:color w:val="000000"/>
          <w:sz w:val="21"/>
        </w:rPr>
        <w:t>17 系统治疗：系统抗真菌核肝功能相互作用及妊娠；无病原证据不默认长期口服。不得自动填写剂量频次疗程或疗效，联合07核药物状态。</w:t>
      </w:r>
    </w:p>
    <w:p>
      <w:pPr>
        <w:spacing w:after="100"/>
      </w:pPr>
      <w:r>
        <w:rPr>
          <w:rFonts w:ascii="Arial" w:hAnsi="Arial" w:eastAsia="宋体"/>
          <w:b w:val="0"/>
          <w:color w:val="000000"/>
          <w:sz w:val="21"/>
        </w:rPr>
        <w:t>18 皮肤治疗操作：甲取材和必要清理单独记，不自动拔甲；操作前后按05，拟实施不得写已实施。</w:t>
      </w:r>
    </w:p>
    <w:p>
      <w:pPr>
        <w:spacing w:after="100"/>
      </w:pPr>
      <w:r>
        <w:rPr>
          <w:rFonts w:ascii="Arial" w:hAnsi="Arial" w:eastAsia="宋体"/>
          <w:b w:val="0"/>
          <w:color w:val="000000"/>
          <w:sz w:val="21"/>
        </w:rPr>
        <w:t>19 相关并发症：优先识别糖尿病足、甲周感染或疼痛色素带进展需及时评估；继发感染、瘢痕及药物反应均要实际证据，风险不等已经发生。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病例特点：【真实病史，重点甲外伤、足癣、糖尿病及既往疗程；当次甲色变增厚碎屑及甲分离，逐指趾编号】</w:t>
        <w:br/>
        <w:t>初步诊断：【甲真菌病的实际确定度】</w:t>
        <w:br/>
        <w:t>诊断依据：【实际甲屑镜检培养或病理按适应证；非皮肤癣菌污染与致病须辨别】</w:t>
        <w:br/>
        <w:t>鉴别诊断：【银屑病甲、扁平苔藓、甲外伤、甲下肿瘤的支持反对缺口】</w:t>
        <w:br/>
        <w:t>诊疗计划：【医师确认的外用制剂选择取决于受累程度，记录实际使用及必要检查监测；计划与执行分开】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甲色变增厚碎屑及甲分离，逐指趾编号的实见部分及黏膜全身】，检查【当时可知结果】。目前考虑【诊断及确定度】，实际治疗【真实执行】，本日重点观察【受累甲数、范围和甲母质累及需实查】，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甲真菌病当前活动及真实治疗执行、短期反应】，关注【糖尿病足、甲周感染或疼痛色素带进展需及时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甲屑镜检培养或病理按适应证；非皮肤癣菌污染与致病须辨别与形态对应、银屑病甲、扁平苔藓、甲外伤、甲下肿瘤的鉴别及受累甲数、范围和甲母质累及需实查】，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甲真菌病疑难证据及系统风险】，就【系统抗真菌核肝功能相互作用及妊娠；无病原证据不默认长期口服涉及的本例重大决策】提出【真实策略与条件】，长期重点【临床长出新甲与真菌学转阴分开，疗程按真实方案】，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受累甲数、范围和甲母质累及需实查的真实变化及安全检查】，医师决定【实际药物或局部方案】由【原方案】调整为【新方案】，原因【证据】，当前处方及执行【分别状态】，监测【本例糖尿病足、甲周感染或疼痛色素带进展需及时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甲取材和必要清理单独记，不自动拔甲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糖尿病足、甲周感染或疼痛色素带进展需及时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诊疗经过：【甲屑镜检培养或病理按适应证；非皮肤癣菌污染与致病须辨别的实际结果、药物操作及转归】</w:t>
        <w:br/>
        <w:t>出院诊断：【确定度与版本】</w:t>
        <w:br/>
        <w:t>出院情况：【当次皮损黏膜全身实查】</w:t>
        <w:br/>
        <w:t>医嘱和未决事项：【临床长出新甲与真菌学转阴分开，疗程按真实方案中适用的确认方案及责任】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护理：【外用制剂选择取决于受累程度，记录实际使用中已确认部分】</w:t>
        <w:br/>
        <w:t>复诊及监测：【本例实际项目时点责任】</w:t>
        <w:br/>
        <w:t>警示：【糖尿病足、甲周感染或疼痛色素带进展需及时评估中需要患者识别的事项】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长期随访：临床长出新甲与真菌学转阴分开，疗程按真实方案。具体项目、复查频率和责任人来自已确认方案，不统一套固定周期。</w:t>
      </w:r>
    </w:p>
    <w:p>
      <w:pPr>
        <w:spacing w:after="100"/>
      </w:pPr>
      <w:r>
        <w:rPr>
          <w:rFonts w:ascii="Arial" w:hAnsi="Arial" w:eastAsia="宋体"/>
          <w:b w:val="0"/>
          <w:color w:val="000000"/>
          <w:sz w:val="21"/>
        </w:rPr>
        <w:t>31 最终质控：重点核对甲屑镜检培养或病理按适应证；非皮肤癣菌污染与致病须辨别及受累甲数、范围和甲母质累及需实查；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253" w:name="b253"/>
      <w:pPr>
        <w:pStyle w:val="Heading2"/>
      </w:pPr>
      <w:r>
        <w:t>06 头癣及皮肤念珠菌病</w:t>
      </w:r>
      <w:bookmarkEnd w:id="253"/>
    </w:p>
    <w:p>
      <w:pPr>
        <w:spacing w:after="100"/>
      </w:pPr>
      <w:r>
        <w:rPr>
          <w:rFonts w:ascii="Arial" w:hAnsi="Arial" w:eastAsia="宋体"/>
          <w:b w:val="0"/>
          <w:color w:val="000000"/>
          <w:sz w:val="21"/>
        </w:rPr>
        <w:t>01 疾病定义：头癣累及头发毛囊；念珠菌皮肤病常见于潮湿皱褶等。该定义是专业知识，不能代替本例诊断。</w:t>
      </w:r>
    </w:p>
    <w:p>
      <w:pPr>
        <w:spacing w:after="100"/>
      </w:pPr>
      <w:r>
        <w:rPr>
          <w:rFonts w:ascii="Arial" w:hAnsi="Arial" w:eastAsia="宋体"/>
          <w:b w:val="0"/>
          <w:color w:val="000000"/>
          <w:sz w:val="21"/>
        </w:rPr>
        <w:t>02 病因及发病机制：围绕头癣累及头发毛囊；念珠菌皮肤病常见于潮湿皱褶等采集相关线索；患者病因只写已核证据，未证实时保留可能性。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临床表现：症状、全身受累及变化按实际病史与检查；重点核实儿童接触、动物、共用物品或潮湿抗菌糖尿病因素。</w:t>
      </w:r>
    </w:p>
    <w:p>
      <w:pPr>
        <w:spacing w:after="100"/>
      </w:pPr>
      <w:r>
        <w:rPr>
          <w:rFonts w:ascii="Arial" w:hAnsi="Arial" w:eastAsia="宋体"/>
          <w:b w:val="0"/>
          <w:color w:val="000000"/>
          <w:sz w:val="21"/>
        </w:rPr>
        <w:t>04 典型皮损形态：头皮断发鳞屑或脓癣与皱褶红斑卫星疱分别描述。典型性只用于鉴别，不自动添加到患者查体。</w:t>
      </w:r>
    </w:p>
    <w:p>
      <w:pPr>
        <w:spacing w:after="100"/>
      </w:pPr>
      <w:r>
        <w:rPr>
          <w:rFonts w:ascii="Arial" w:hAnsi="Arial" w:eastAsia="宋体"/>
          <w:b w:val="0"/>
          <w:color w:val="000000"/>
          <w:sz w:val="21"/>
        </w:rPr>
        <w:t>05 皮损部位及分布：逐病灶记录头皮断发鳞屑或脓癣与皱褶红斑卫星疱分别描述涉及的实际部位侧别、数量排列对称和范围；不补“全身”。</w:t>
      </w:r>
    </w:p>
    <w:p>
      <w:pPr>
        <w:spacing w:after="100"/>
      </w:pPr>
      <w:r>
        <w:rPr>
          <w:rFonts w:ascii="Arial" w:hAnsi="Arial" w:eastAsia="宋体"/>
          <w:b w:val="0"/>
          <w:color w:val="000000"/>
          <w:sz w:val="21"/>
        </w:rPr>
        <w:t>06 病史采集重点：儿童接触、动物、共用物品或潮湿抗菌糖尿病因素；保留发病与发现、首次与复发、用药计划与执行的差别。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专科检查：按03实查原发继发皮损、黏膜、毛发甲及必要触诊，围绕头癣类型及脓癣风险；皮肤念珠菌局限与侵袭性证据分开记录而不强行检查无关项目。</w:t>
      </w:r>
    </w:p>
    <w:p>
      <w:pPr>
        <w:spacing w:after="100"/>
      </w:pPr>
      <w:r>
        <w:rPr>
          <w:rFonts w:ascii="Arial" w:hAnsi="Arial" w:eastAsia="宋体"/>
          <w:b w:val="0"/>
          <w:color w:val="000000"/>
          <w:sz w:val="21"/>
        </w:rPr>
        <w:t>08 实验室检查：毛发或皮屑镜检培养，念珠菌检出须结合浸润症状与样本质量；检查项目按问题选择，未做不写正常。</w:t>
      </w:r>
    </w:p>
    <w:p>
      <w:pPr>
        <w:spacing w:after="100"/>
      </w:pPr>
      <w:r>
        <w:rPr>
          <w:rFonts w:ascii="Arial" w:hAnsi="Arial" w:eastAsia="宋体"/>
          <w:b w:val="0"/>
          <w:color w:val="000000"/>
          <w:sz w:val="21"/>
        </w:rPr>
        <w:t>09 皮肤镜或其他辅助检查：围绕毛发或皮屑镜检培养，念珠菌检出须结合浸润症状与样本质量选择必要辅查；没有特定指征不常规添加皮肤镜，普通照不当镜图。</w:t>
      </w:r>
    </w:p>
    <w:p>
      <w:pPr>
        <w:spacing w:after="100"/>
      </w:pPr>
      <w:r>
        <w:rPr>
          <w:rFonts w:ascii="Arial" w:hAnsi="Arial" w:eastAsia="宋体"/>
          <w:b w:val="0"/>
          <w:color w:val="000000"/>
          <w:sz w:val="21"/>
        </w:rPr>
        <w:t>10 病理及免疫检查：毛发取材或其他活检按适应证；不切开所有脓癣。HE、DIF、IIF及抗体按实际诊断问题选择，非典型或疑难再评取材；无适应证不强制。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诊断标准：采用可核实的适用临床及专科体系，毛发或皮屑镜检培养，念珠菌检出须结合浸润症状与样本质量；未核全文的评分标准不得凭题录复造。</w:t>
      </w:r>
    </w:p>
    <w:p>
      <w:pPr>
        <w:spacing w:after="100"/>
      </w:pPr>
      <w:r>
        <w:rPr>
          <w:rFonts w:ascii="Arial" w:hAnsi="Arial" w:eastAsia="宋体"/>
          <w:b w:val="0"/>
          <w:color w:val="000000"/>
          <w:sz w:val="21"/>
        </w:rPr>
        <w:t>12 诊断依据：逐条将实际头皮断发鳞屑或脓癣与皱褶红斑卫星疱分别描述与毛发或皮屑镜检培养，念珠菌检出须结合浸润症状与样本质量对应；写本例支持、反对及尚缺证据，保持疑似/初诊/确诊确定度。</w:t>
      </w:r>
    </w:p>
    <w:p>
      <w:pPr>
        <w:spacing w:after="100"/>
      </w:pPr>
      <w:r>
        <w:rPr>
          <w:rFonts w:ascii="Arial" w:hAnsi="Arial" w:eastAsia="宋体"/>
          <w:b w:val="0"/>
          <w:color w:val="000000"/>
          <w:sz w:val="21"/>
        </w:rPr>
        <w:t>13 鉴别诊断：斑秃、脂溢性皮炎、细菌毛囊炎、间擦疹及反向银屑病。每项基于本例支持、反对和下一步验证，不机械写全部排除。</w:t>
      </w:r>
    </w:p>
    <w:p>
      <w:pPr>
        <w:spacing w:after="100"/>
      </w:pPr>
      <w:r>
        <w:rPr>
          <w:rFonts w:ascii="Arial" w:hAnsi="Arial" w:eastAsia="宋体"/>
          <w:b w:val="0"/>
          <w:color w:val="000000"/>
          <w:sz w:val="21"/>
        </w:rPr>
        <w:t>14 分型分期及严重程度：头癣类型及脓癣风险；皮肤念珠菌局限与侵袭性证据分开。评分需体系版本、分项、日期和评估者，缺变量不自动算。</w:t>
      </w:r>
    </w:p>
    <w:p>
      <w:pPr>
        <w:spacing w:after="100"/>
      </w:pPr>
      <w:r>
        <w:rPr>
          <w:rFonts w:ascii="Arial" w:hAnsi="Arial" w:eastAsia="宋体"/>
          <w:b w:val="0"/>
          <w:color w:val="000000"/>
          <w:sz w:val="21"/>
        </w:rPr>
        <w:t>15 危急病情识别：脓癣瘢痕、免疫抑制发热、深部损害需升级。危险状态联合06，不等待文书齐全才处置。</w:t>
      </w:r>
    </w:p>
    <w:p>
      <w:pPr>
        <w:spacing w:after="100"/>
      </w:pPr>
      <w:r>
        <w:rPr>
          <w:rFonts w:ascii="Arial" w:hAnsi="Arial" w:eastAsia="宋体"/>
          <w:b w:val="0"/>
          <w:color w:val="000000"/>
          <w:sz w:val="21"/>
        </w:rPr>
        <w:t>16 外用治疗：头癣外用仅辅助；皱褶局部抗真菌及干燥护理按计划。该项为决策知识，患者已用与否及用法必须真实。</w:t>
      </w:r>
    </w:p>
    <w:p>
      <w:pPr>
        <w:spacing w:after="100"/>
      </w:pPr>
      <w:r>
        <w:rPr>
          <w:rFonts w:ascii="Arial" w:hAnsi="Arial" w:eastAsia="宋体"/>
          <w:b w:val="0"/>
          <w:color w:val="000000"/>
          <w:sz w:val="21"/>
        </w:rPr>
        <w:t>17 系统治疗：头癣通常需系统方案由医师按病原年龄体重决定；不从培养阳性判侵袭感染。不得自动填写剂量频次疗程或疗效，联合07核药物状态。</w:t>
      </w:r>
    </w:p>
    <w:p>
      <w:pPr>
        <w:spacing w:after="100"/>
      </w:pPr>
      <w:r>
        <w:rPr>
          <w:rFonts w:ascii="Arial" w:hAnsi="Arial" w:eastAsia="宋体"/>
          <w:b w:val="0"/>
          <w:color w:val="000000"/>
          <w:sz w:val="21"/>
        </w:rPr>
        <w:t>18 皮肤治疗操作：毛发取材或其他活检按适应证；不切开所有脓癣；操作前后按05，拟实施不得写已实施。</w:t>
      </w:r>
    </w:p>
    <w:p>
      <w:pPr>
        <w:spacing w:after="100"/>
      </w:pPr>
      <w:r>
        <w:rPr>
          <w:rFonts w:ascii="Arial" w:hAnsi="Arial" w:eastAsia="宋体"/>
          <w:b w:val="0"/>
          <w:color w:val="000000"/>
          <w:sz w:val="21"/>
        </w:rPr>
        <w:t>19 相关并发症：优先识别脓癣瘢痕、免疫抑制发热、深部损害需升级；继发感染、瘢痕及药物反应均要实际证据，风险不等已经发生。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病例特点：【真实病史，重点儿童接触、动物、共用物品或潮湿抗菌糖尿病因素；当次头皮断发鳞屑或脓癣与皱褶红斑卫星疱分别描述】</w:t>
        <w:br/>
        <w:t>初步诊断：【头癣及皮肤念珠菌病的实际确定度】</w:t>
        <w:br/>
        <w:t>诊断依据：【实际毛发或皮屑镜检培养，念珠菌检出须结合浸润症状与样本质量】</w:t>
        <w:br/>
        <w:t>鉴别诊断：【斑秃、脂溢性皮炎、细菌毛囊炎、间擦疹及反向银屑病的支持反对缺口】</w:t>
        <w:br/>
        <w:t>诊疗计划：【医师确认的头癣外用仅辅助；皱褶局部抗真菌及干燥护理按计划及必要检查监测；计划与执行分开】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头皮断发鳞屑或脓癣与皱褶红斑卫星疱分别描述的实见部分及黏膜全身】，检查【当时可知结果】。目前考虑【诊断及确定度】，实际治疗【真实执行】，本日重点观察【头癣类型及脓癣风险；皮肤念珠菌局限与侵袭性证据分开】，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头癣及皮肤念珠菌病当前活动及真实治疗执行、短期反应】，关注【脓癣瘢痕、免疫抑制发热、深部损害需升级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毛发或皮屑镜检培养，念珠菌检出须结合浸润症状与样本质量与形态对应、斑秃、脂溢性皮炎、细菌毛囊炎、间擦疹及反向银屑病的鉴别及头癣类型及脓癣风险；皮肤念珠菌局限与侵袭性证据分开】，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头癣及皮肤念珠菌病疑难证据及系统风险】，就【头癣通常需系统方案由医师按病原年龄体重决定；不从培养阳性判侵袭感染涉及的本例重大决策】提出【真实策略与条件】，长期重点【接触物和感染源评估；儿童剂量须实测体重】，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头癣类型及脓癣风险；皮肤念珠菌局限与侵袭性证据分开的真实变化及安全检查】，医师决定【实际药物或局部方案】由【原方案】调整为【新方案】，原因【证据】，当前处方及执行【分别状态】，监测【本例脓癣瘢痕、免疫抑制发热、深部损害需升级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毛发取材或其他活检按适应证；不切开所有脓癣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脓癣瘢痕、免疫抑制发热、深部损害需升级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诊疗经过：【毛发或皮屑镜检培养，念珠菌检出须结合浸润症状与样本质量的实际结果、药物操作及转归】</w:t>
        <w:br/>
        <w:t>出院诊断：【确定度与版本】</w:t>
        <w:br/>
        <w:t>出院情况：【当次皮损黏膜全身实查】</w:t>
        <w:br/>
        <w:t>医嘱和未决事项：【接触物和感染源评估；儿童剂量须实测体重中适用的确认方案及责任】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护理：【头癣外用仅辅助；皱褶局部抗真菌及干燥护理按计划中已确认部分】</w:t>
        <w:br/>
        <w:t>复诊及监测：【本例实际项目时点责任】</w:t>
        <w:br/>
        <w:t>警示：【脓癣瘢痕、免疫抑制发热、深部损害需升级中需要患者识别的事项】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长期随访：接触物和感染源评估；儿童剂量须实测体重。具体项目、复查频率和责任人来自已确认方案，不统一套固定周期。</w:t>
      </w:r>
    </w:p>
    <w:p>
      <w:pPr>
        <w:spacing w:after="100"/>
      </w:pPr>
      <w:r>
        <w:rPr>
          <w:rFonts w:ascii="Arial" w:hAnsi="Arial" w:eastAsia="宋体"/>
          <w:b w:val="0"/>
          <w:color w:val="000000"/>
          <w:sz w:val="21"/>
        </w:rPr>
        <w:t>31 最终质控：重点核对毛发或皮屑镜检培养，念珠菌检出须结合浸润症状与样本质量及头癣类型及脓癣风险；皮肤念珠菌局限与侵袭性证据分开；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296" w:name="b296"/>
      <w:pPr>
        <w:pStyle w:val="Heading2"/>
      </w:pPr>
      <w:r>
        <w:t>07 单纯疱疹及带状疱疹</w:t>
      </w:r>
      <w:bookmarkEnd w:id="296"/>
    </w:p>
    <w:p>
      <w:pPr>
        <w:spacing w:after="100"/>
      </w:pPr>
      <w:r>
        <w:rPr>
          <w:rFonts w:ascii="Arial" w:hAnsi="Arial" w:eastAsia="宋体"/>
          <w:b w:val="0"/>
          <w:color w:val="000000"/>
          <w:sz w:val="21"/>
        </w:rPr>
        <w:t>01 疾病定义：HSV复发性皮黏膜感染与VZV再激活分开管理。该定义是专业知识，不能代替本例诊断。</w:t>
      </w:r>
    </w:p>
    <w:p>
      <w:pPr>
        <w:spacing w:after="100"/>
      </w:pPr>
      <w:r>
        <w:rPr>
          <w:rFonts w:ascii="Arial" w:hAnsi="Arial" w:eastAsia="宋体"/>
          <w:b w:val="0"/>
          <w:color w:val="000000"/>
          <w:sz w:val="21"/>
        </w:rPr>
        <w:t>02 病因及发病机制：围绕HSV复发性皮黏膜感染与VZV再激活分开管理采集相关线索；患者病因只写已核证据，未证实时保留可能性。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临床表现：症状、全身受累及变化按实际病史与检查；重点核实起疹疼痛、免疫状态、既往发作、眼耳及神经症状。</w:t>
      </w:r>
    </w:p>
    <w:p>
      <w:pPr>
        <w:spacing w:after="100"/>
      </w:pPr>
      <w:r>
        <w:rPr>
          <w:rFonts w:ascii="Arial" w:hAnsi="Arial" w:eastAsia="宋体"/>
          <w:b w:val="0"/>
          <w:color w:val="000000"/>
          <w:sz w:val="21"/>
        </w:rPr>
        <w:t>04 典型皮损形态：群集水疱糜烂与皮节分布疱疹分别描述，不典型可无典型疱。典型性只用于鉴别，不自动添加到患者查体。</w:t>
      </w:r>
    </w:p>
    <w:p>
      <w:pPr>
        <w:spacing w:after="100"/>
      </w:pPr>
      <w:r>
        <w:rPr>
          <w:rFonts w:ascii="Arial" w:hAnsi="Arial" w:eastAsia="宋体"/>
          <w:b w:val="0"/>
          <w:color w:val="000000"/>
          <w:sz w:val="21"/>
        </w:rPr>
        <w:t>05 皮损部位及分布：逐病灶记录群集水疱糜烂与皮节分布疱疹分别描述，不典型可无典型疱涉及的实际部位侧别、数量排列对称和范围；不补“全身”。</w:t>
      </w:r>
    </w:p>
    <w:p>
      <w:pPr>
        <w:spacing w:after="100"/>
      </w:pPr>
      <w:r>
        <w:rPr>
          <w:rFonts w:ascii="Arial" w:hAnsi="Arial" w:eastAsia="宋体"/>
          <w:b w:val="0"/>
          <w:color w:val="000000"/>
          <w:sz w:val="21"/>
        </w:rPr>
        <w:t>06 病史采集重点：起疹疼痛、免疫状态、既往发作、眼耳及神经症状；保留发病与发现、首次与复发、用药计划与执行的差别。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专科检查：按03实查原发继发皮损、黏膜、毛发甲及必要触诊，围绕局限或播散及免疫状态；疼痛NRS需患者评分记录而不强行检查无关项目。</w:t>
      </w:r>
    </w:p>
    <w:p>
      <w:pPr>
        <w:spacing w:after="100"/>
      </w:pPr>
      <w:r>
        <w:rPr>
          <w:rFonts w:ascii="Arial" w:hAnsi="Arial" w:eastAsia="宋体"/>
          <w:b w:val="0"/>
          <w:color w:val="000000"/>
          <w:sz w:val="21"/>
        </w:rPr>
        <w:t>08 实验室检查：典型可临床判断；不典型或重症可皮损PCR，血清抗体不替代局部病原；检查项目按问题选择，未做不写正常。</w:t>
      </w:r>
    </w:p>
    <w:p>
      <w:pPr>
        <w:spacing w:after="100"/>
      </w:pPr>
      <w:r>
        <w:rPr>
          <w:rFonts w:ascii="Arial" w:hAnsi="Arial" w:eastAsia="宋体"/>
          <w:b w:val="0"/>
          <w:color w:val="000000"/>
          <w:sz w:val="21"/>
        </w:rPr>
        <w:t>09 皮肤镜或其他辅助检查：围绕典型可临床判断；不典型或重症可皮损PCR，血清抗体不替代局部病原选择必要辅查；没有特定指征不常规添加皮肤镜，普通照不当镜图。</w:t>
      </w:r>
    </w:p>
    <w:p>
      <w:pPr>
        <w:spacing w:after="100"/>
      </w:pPr>
      <w:r>
        <w:rPr>
          <w:rFonts w:ascii="Arial" w:hAnsi="Arial" w:eastAsia="宋体"/>
          <w:b w:val="0"/>
          <w:color w:val="000000"/>
          <w:sz w:val="21"/>
        </w:rPr>
        <w:t>10 病理及免疫检查：皮损取样实录，生殖器HSV联合108。HE、DIF、IIF及抗体按实际诊断问题选择，非典型或疑难再评取材；无适应证不强制。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诊断标准：采用可核实的适用临床及专科体系，典型可临床判断；不典型或重症可皮损PCR，血清抗体不替代局部病原；未核全文的评分标准不得凭题录复造。</w:t>
      </w:r>
    </w:p>
    <w:p>
      <w:pPr>
        <w:spacing w:after="100"/>
      </w:pPr>
      <w:r>
        <w:rPr>
          <w:rFonts w:ascii="Arial" w:hAnsi="Arial" w:eastAsia="宋体"/>
          <w:b w:val="0"/>
          <w:color w:val="000000"/>
          <w:sz w:val="21"/>
        </w:rPr>
        <w:t>12 诊断依据：逐条将实际群集水疱糜烂与皮节分布疱疹分别描述，不典型可无典型疱与典型可临床判断；不典型或重症可皮损PCR，血清抗体不替代局部病原对应；写本例支持、反对及尚缺证据，保持疑似/初诊/确诊确定度。</w:t>
      </w:r>
    </w:p>
    <w:p>
      <w:pPr>
        <w:spacing w:after="100"/>
      </w:pPr>
      <w:r>
        <w:rPr>
          <w:rFonts w:ascii="Arial" w:hAnsi="Arial" w:eastAsia="宋体"/>
          <w:b w:val="0"/>
          <w:color w:val="000000"/>
          <w:sz w:val="21"/>
        </w:rPr>
        <w:t>13 鉴别诊断：接触性皮炎、脓疱疮、固定型药疹、非疱疹性水疱病。每项基于本例支持、反对和下一步验证，不机械写全部排除。</w:t>
      </w:r>
    </w:p>
    <w:p>
      <w:pPr>
        <w:spacing w:after="100"/>
      </w:pPr>
      <w:r>
        <w:rPr>
          <w:rFonts w:ascii="Arial" w:hAnsi="Arial" w:eastAsia="宋体"/>
          <w:b w:val="0"/>
          <w:color w:val="000000"/>
          <w:sz w:val="21"/>
        </w:rPr>
        <w:t>14 分型分期及严重程度：局限或播散及免疫状态；疼痛NRS需患者评分。评分需体系版本、分项、日期和评估者，缺变量不自动算。</w:t>
      </w:r>
    </w:p>
    <w:p>
      <w:pPr>
        <w:spacing w:after="100"/>
      </w:pPr>
      <w:r>
        <w:rPr>
          <w:rFonts w:ascii="Arial" w:hAnsi="Arial" w:eastAsia="宋体"/>
          <w:b w:val="0"/>
          <w:color w:val="000000"/>
          <w:sz w:val="21"/>
        </w:rPr>
        <w:t>15 危急病情识别：眼部、耳部神经、播散、意识改变及疱疹性湿疹立即协作。危险状态联合06，不等待文书齐全才处置。</w:t>
      </w:r>
    </w:p>
    <w:p>
      <w:pPr>
        <w:spacing w:after="100"/>
      </w:pPr>
      <w:r>
        <w:rPr>
          <w:rFonts w:ascii="Arial" w:hAnsi="Arial" w:eastAsia="宋体"/>
          <w:b w:val="0"/>
          <w:color w:val="000000"/>
          <w:sz w:val="21"/>
        </w:rPr>
        <w:t>16 外用治疗：保护皮损与实际局部方案，不能只外用代替有指征系统治疗。该项为决策知识，患者已用与否及用法必须真实。</w:t>
      </w:r>
    </w:p>
    <w:p>
      <w:pPr>
        <w:spacing w:after="100"/>
      </w:pPr>
      <w:r>
        <w:rPr>
          <w:rFonts w:ascii="Arial" w:hAnsi="Arial" w:eastAsia="宋体"/>
          <w:b w:val="0"/>
          <w:color w:val="000000"/>
          <w:sz w:val="21"/>
        </w:rPr>
        <w:t>17 系统治疗：系统抗病毒核起病时点、肾功能年龄及真实给药；疼痛治疗单列。不得自动填写剂量频次疗程或疗效，联合07核药物状态。</w:t>
      </w:r>
    </w:p>
    <w:p>
      <w:pPr>
        <w:spacing w:after="100"/>
      </w:pPr>
      <w:r>
        <w:rPr>
          <w:rFonts w:ascii="Arial" w:hAnsi="Arial" w:eastAsia="宋体"/>
          <w:b w:val="0"/>
          <w:color w:val="000000"/>
          <w:sz w:val="21"/>
        </w:rPr>
        <w:t>18 皮肤治疗操作：皮损取样实录，生殖器HSV联合108；操作前后按05，拟实施不得写已实施。</w:t>
      </w:r>
    </w:p>
    <w:p>
      <w:pPr>
        <w:spacing w:after="100"/>
      </w:pPr>
      <w:r>
        <w:rPr>
          <w:rFonts w:ascii="Arial" w:hAnsi="Arial" w:eastAsia="宋体"/>
          <w:b w:val="0"/>
          <w:color w:val="000000"/>
          <w:sz w:val="21"/>
        </w:rPr>
        <w:t>19 相关并发症：优先识别眼部、耳部神经、播散、意识改变及疱疹性湿疹立即协作；继发感染、瘢痕及药物反应均要实际证据，风险不等已经发生。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病例特点：【真实病史，重点起疹疼痛、免疫状态、既往发作、眼耳及神经症状；当次群集水疱糜烂与皮节分布疱疹分别描述，不典型可无典型疱】</w:t>
        <w:br/>
        <w:t>初步诊断：【单纯疱疹及带状疱疹的实际确定度】</w:t>
        <w:br/>
        <w:t>诊断依据：【实际典型可临床判断；不典型或重症可皮损PCR，血清抗体不替代局部病原】</w:t>
        <w:br/>
        <w:t>鉴别诊断：【接触性皮炎、脓疱疮、固定型药疹、非疱疹性水疱病的支持反对缺口】</w:t>
        <w:br/>
        <w:t>诊疗计划：【医师确认的保护皮损与实际局部方案，不能只外用代替有指征系统治疗及必要检查监测；计划与执行分开】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群集水疱糜烂与皮节分布疱疹分别描述，不典型可无典型疱的实见部分及黏膜全身】，检查【当时可知结果】。目前考虑【诊断及确定度】，实际治疗【真实执行】，本日重点观察【局限或播散及免疫状态；疼痛NRS需患者评分】，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单纯疱疹及带状疱疹当前活动及真实治疗执行、短期反应】，关注【眼部、耳部神经、播散、意识改变及疱疹性湿疹立即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典型可临床判断；不典型或重症可皮损PCR，血清抗体不替代局部病原与形态对应、接触性皮炎、脓疱疮、固定型药疹、非疱疹性水疱病的鉴别及局限或播散及免疫状态；疼痛NRS需患者评分】，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单纯疱疹及带状疱疹疑难证据及系统风险】，就【系统抗病毒核起病时点、肾功能年龄及真实给药；疼痛治疗单列涉及的本例重大决策】提出【真实策略与条件】，长期重点【追踪疼痛及眼神经并发症，不把所有疼痛写带状疱疹后神经痛】，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局限或播散及免疫状态；疼痛NRS需患者评分的真实变化及安全检查】，医师决定【实际药物或局部方案】由【原方案】调整为【新方案】，原因【证据】，当前处方及执行【分别状态】，监测【本例眼部、耳部神经、播散、意识改变及疱疹性湿疹立即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皮损取样实录，生殖器HSV联合108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眼部、耳部神经、播散、意识改变及疱疹性湿疹立即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诊疗经过：【典型可临床判断；不典型或重症可皮损PCR，血清抗体不替代局部病原的实际结果、药物操作及转归】</w:t>
        <w:br/>
        <w:t>出院诊断：【确定度与版本】</w:t>
        <w:br/>
        <w:t>出院情况：【当次皮损黏膜全身实查】</w:t>
        <w:br/>
        <w:t>医嘱和未决事项：【追踪疼痛及眼神经并发症，不把所有疼痛写带状疱疹后神经痛中适用的确认方案及责任】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护理：【保护皮损与实际局部方案，不能只外用代替有指征系统治疗中已确认部分】</w:t>
        <w:br/>
        <w:t>复诊及监测：【本例实际项目时点责任】</w:t>
        <w:br/>
        <w:t>警示：【眼部、耳部神经、播散、意识改变及疱疹性湿疹立即协作中需要患者识别的事项】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长期随访：追踪疼痛及眼神经并发症，不把所有疼痛写带状疱疹后神经痛。具体项目、复查频率和责任人来自已确认方案，不统一套固定周期。</w:t>
      </w:r>
    </w:p>
    <w:p>
      <w:pPr>
        <w:spacing w:after="100"/>
      </w:pPr>
      <w:r>
        <w:rPr>
          <w:rFonts w:ascii="Arial" w:hAnsi="Arial" w:eastAsia="宋体"/>
          <w:b w:val="0"/>
          <w:color w:val="000000"/>
          <w:sz w:val="21"/>
        </w:rPr>
        <w:t>31 最终质控：重点核对典型可临床判断；不典型或重症可皮损PCR，血清抗体不替代局部病原及局限或播散及免疫状态；疼痛NRS需患者评分；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339" w:name="b339"/>
      <w:pPr>
        <w:pStyle w:val="Heading2"/>
      </w:pPr>
      <w:r>
        <w:t>08 疣及传染性软疣</w:t>
      </w:r>
      <w:bookmarkEnd w:id="339"/>
    </w:p>
    <w:p>
      <w:pPr>
        <w:spacing w:after="100"/>
      </w:pPr>
      <w:r>
        <w:rPr>
          <w:rFonts w:ascii="Arial" w:hAnsi="Arial" w:eastAsia="宋体"/>
          <w:b w:val="0"/>
          <w:color w:val="000000"/>
          <w:sz w:val="21"/>
        </w:rPr>
        <w:t>01 疾病定义：HPV相关疣与痘病毒相关软疣是不同病毒性皮损。该定义是专业知识，不能代替本例诊断。</w:t>
      </w:r>
    </w:p>
    <w:p>
      <w:pPr>
        <w:spacing w:after="100"/>
      </w:pPr>
      <w:r>
        <w:rPr>
          <w:rFonts w:ascii="Arial" w:hAnsi="Arial" w:eastAsia="宋体"/>
          <w:b w:val="0"/>
          <w:color w:val="000000"/>
          <w:sz w:val="21"/>
        </w:rPr>
        <w:t>02 病因及发病机制：围绕HPV相关疣与痘病毒相关软疣是不同病毒性皮损采集相关线索；患者病因只写已核证据，未证实时保留可能性。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临床表现：症状、全身受累及变化按实际病史与检查；重点核实持续时间、接触、免疫状态及治疗反应。</w:t>
      </w:r>
    </w:p>
    <w:p>
      <w:pPr>
        <w:spacing w:after="100"/>
      </w:pPr>
      <w:r>
        <w:rPr>
          <w:rFonts w:ascii="Arial" w:hAnsi="Arial" w:eastAsia="宋体"/>
          <w:b w:val="0"/>
          <w:color w:val="000000"/>
          <w:sz w:val="21"/>
        </w:rPr>
        <w:t>04 典型皮损形态：疣状角化丘疹与脐凹光亮丘疹区别记录。典型性只用于鉴别，不自动添加到患者查体。</w:t>
      </w:r>
    </w:p>
    <w:p>
      <w:pPr>
        <w:spacing w:after="100"/>
      </w:pPr>
      <w:r>
        <w:rPr>
          <w:rFonts w:ascii="Arial" w:hAnsi="Arial" w:eastAsia="宋体"/>
          <w:b w:val="0"/>
          <w:color w:val="000000"/>
          <w:sz w:val="21"/>
        </w:rPr>
        <w:t>05 皮损部位及分布：逐病灶记录疣状角化丘疹与脐凹光亮丘疹区别记录涉及的实际部位侧别、数量排列对称和范围；不补“全身”。</w:t>
      </w:r>
    </w:p>
    <w:p>
      <w:pPr>
        <w:spacing w:after="100"/>
      </w:pPr>
      <w:r>
        <w:rPr>
          <w:rFonts w:ascii="Arial" w:hAnsi="Arial" w:eastAsia="宋体"/>
          <w:b w:val="0"/>
          <w:color w:val="000000"/>
          <w:sz w:val="21"/>
        </w:rPr>
        <w:t>06 病史采集重点：持续时间、接触、免疫状态及治疗反应；保留发病与发现、首次与复发、用药计划与执行的差别。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专科检查：按03实查原发继发皮损、黏膜、毛发甲及必要触诊，围绕部位数目范围、免疫抑制及复发状态记录而不强行检查无关项目。</w:t>
      </w:r>
    </w:p>
    <w:p>
      <w:pPr>
        <w:spacing w:after="100"/>
      </w:pPr>
      <w:r>
        <w:rPr>
          <w:rFonts w:ascii="Arial" w:hAnsi="Arial" w:eastAsia="宋体"/>
          <w:b w:val="0"/>
          <w:color w:val="000000"/>
          <w:sz w:val="21"/>
        </w:rPr>
        <w:t>08 实验室检查：多依临床，非典型增大溃疡需病理；生殖器转108；检查项目按问题选择，未做不写正常。</w:t>
      </w:r>
    </w:p>
    <w:p>
      <w:pPr>
        <w:spacing w:after="100"/>
      </w:pPr>
      <w:r>
        <w:rPr>
          <w:rFonts w:ascii="Arial" w:hAnsi="Arial" w:eastAsia="宋体"/>
          <w:b w:val="0"/>
          <w:color w:val="000000"/>
          <w:sz w:val="21"/>
        </w:rPr>
        <w:t>09 皮肤镜或其他辅助检查：围绕多依临床，非典型增大溃疡需病理；生殖器转108选择必要辅查；没有特定指征不常规添加皮肤镜，普通照不当镜图。</w:t>
      </w:r>
    </w:p>
    <w:p>
      <w:pPr>
        <w:spacing w:after="100"/>
      </w:pPr>
      <w:r>
        <w:rPr>
          <w:rFonts w:ascii="Arial" w:hAnsi="Arial" w:eastAsia="宋体"/>
          <w:b w:val="0"/>
          <w:color w:val="000000"/>
          <w:sz w:val="21"/>
        </w:rPr>
        <w:t>10 病理及免疫检查：冷冻刮除等须同意状态和实录参数，不能将一次治疗写清除病毒。HE、DIF、IIF及抗体按实际诊断问题选择，非典型或疑难再评取材；无适应证不强制。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诊断标准：采用可核实的适用临床及专科体系，多依临床，非典型增大溃疡需病理；生殖器转108；未核全文的评分标准不得凭题录复造。</w:t>
      </w:r>
    </w:p>
    <w:p>
      <w:pPr>
        <w:spacing w:after="100"/>
      </w:pPr>
      <w:r>
        <w:rPr>
          <w:rFonts w:ascii="Arial" w:hAnsi="Arial" w:eastAsia="宋体"/>
          <w:b w:val="0"/>
          <w:color w:val="000000"/>
          <w:sz w:val="21"/>
        </w:rPr>
        <w:t>12 诊断依据：逐条将实际疣状角化丘疹与脐凹光亮丘疹区别记录与多依临床，非典型增大溃疡需病理；生殖器转108对应；写本例支持、反对及尚缺证据，保持疑似/初诊/确诊确定度。</w:t>
      </w:r>
    </w:p>
    <w:p>
      <w:pPr>
        <w:spacing w:after="100"/>
      </w:pPr>
      <w:r>
        <w:rPr>
          <w:rFonts w:ascii="Arial" w:hAnsi="Arial" w:eastAsia="宋体"/>
          <w:b w:val="0"/>
          <w:color w:val="000000"/>
          <w:sz w:val="21"/>
        </w:rPr>
        <w:t>13 鉴别诊断：胼胝、脂溢性角化、鳞癌、毛囊炎。每项基于本例支持、反对和下一步验证，不机械写全部排除。</w:t>
      </w:r>
    </w:p>
    <w:p>
      <w:pPr>
        <w:spacing w:after="100"/>
      </w:pPr>
      <w:r>
        <w:rPr>
          <w:rFonts w:ascii="Arial" w:hAnsi="Arial" w:eastAsia="宋体"/>
          <w:b w:val="0"/>
          <w:color w:val="000000"/>
          <w:sz w:val="21"/>
        </w:rPr>
        <w:t>14 分型分期及严重程度：部位数目范围、免疫抑制及复发状态。评分需体系版本、分项、日期和评估者，缺变量不自动算。</w:t>
      </w:r>
    </w:p>
    <w:p>
      <w:pPr>
        <w:spacing w:after="100"/>
      </w:pPr>
      <w:r>
        <w:rPr>
          <w:rFonts w:ascii="Arial" w:hAnsi="Arial" w:eastAsia="宋体"/>
          <w:b w:val="0"/>
          <w:color w:val="000000"/>
          <w:sz w:val="21"/>
        </w:rPr>
        <w:t>15 危急病情识别：非典型快速增长出血、免疫缺陷广泛发作需进一步评估。危险状态联合06，不等待文书齐全才处置。</w:t>
      </w:r>
    </w:p>
    <w:p>
      <w:pPr>
        <w:spacing w:after="100"/>
      </w:pPr>
      <w:r>
        <w:rPr>
          <w:rFonts w:ascii="Arial" w:hAnsi="Arial" w:eastAsia="宋体"/>
          <w:b w:val="0"/>
          <w:color w:val="000000"/>
          <w:sz w:val="21"/>
        </w:rPr>
        <w:t>16 外用治疗：按部位年龄皮损完整性选择外用，黏膜不可套普通角质剥脱。该项为决策知识，患者已用与否及用法必须真实。</w:t>
      </w:r>
    </w:p>
    <w:p>
      <w:pPr>
        <w:spacing w:after="100"/>
      </w:pPr>
      <w:r>
        <w:rPr>
          <w:rFonts w:ascii="Arial" w:hAnsi="Arial" w:eastAsia="宋体"/>
          <w:b w:val="0"/>
          <w:color w:val="000000"/>
          <w:sz w:val="21"/>
        </w:rPr>
        <w:t>17 系统治疗：不常规生成系统抗病毒；严重难治由医师另评。不得自动填写剂量频次疗程或疗效，联合07核药物状态。</w:t>
      </w:r>
    </w:p>
    <w:p>
      <w:pPr>
        <w:spacing w:after="100"/>
      </w:pPr>
      <w:r>
        <w:rPr>
          <w:rFonts w:ascii="Arial" w:hAnsi="Arial" w:eastAsia="宋体"/>
          <w:b w:val="0"/>
          <w:color w:val="000000"/>
          <w:sz w:val="21"/>
        </w:rPr>
        <w:t>18 皮肤治疗操作：冷冻刮除等须同意状态和实录参数，不能将一次治疗写清除病毒；操作前后按05，拟实施不得写已实施。</w:t>
      </w:r>
    </w:p>
    <w:p>
      <w:pPr>
        <w:spacing w:after="100"/>
      </w:pPr>
      <w:r>
        <w:rPr>
          <w:rFonts w:ascii="Arial" w:hAnsi="Arial" w:eastAsia="宋体"/>
          <w:b w:val="0"/>
          <w:color w:val="000000"/>
          <w:sz w:val="21"/>
        </w:rPr>
        <w:t>19 相关并发症：优先识别非典型快速增长出血、免疫缺陷广泛发作需进一步评估；继发感染、瘢痕及药物反应均要实际证据，风险不等已经发生。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病例特点：【真实病史，重点持续时间、接触、免疫状态及治疗反应；当次疣状角化丘疹与脐凹光亮丘疹区别记录】</w:t>
        <w:br/>
        <w:t>初步诊断：【疣及传染性软疣的实际确定度】</w:t>
        <w:br/>
        <w:t>诊断依据：【实际多依临床，非典型增大溃疡需病理；生殖器转108】</w:t>
        <w:br/>
        <w:t>鉴别诊断：【胼胝、脂溢性角化、鳞癌、毛囊炎的支持反对缺口】</w:t>
        <w:br/>
        <w:t>诊疗计划：【医师确认的按部位年龄皮损完整性选择外用，黏膜不可套普通角质剥脱及必要检查监测；计划与执行分开】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疣状角化丘疹与脐凹光亮丘疹区别记录的实见部分及黏膜全身】，检查【当时可知结果】。目前考虑【诊断及确定度】，实际治疗【真实执行】，本日重点观察【部位数目范围、免疫抑制及复发状态】，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疣及传染性软疣当前活动及真实治疗执行、短期反应】，关注【非典型快速增长出血、免疫缺陷广泛发作需进一步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多依临床，非典型增大溃疡需病理；生殖器转108与形态对应、胼胝、脂溢性角化、鳞癌、毛囊炎的鉴别及部位数目范围、免疫抑制及复发状态】，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疣及传染性软疣疑难证据及系统风险】，就【不常规生成系统抗病毒；严重难治由医师另评涉及的本例重大决策】提出【真实策略与条件】，长期重点【观察创面色素改变和复发，切勿推断非必要传播途径】，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部位数目范围、免疫抑制及复发状态的真实变化及安全检查】，医师决定【实际药物或局部方案】由【原方案】调整为【新方案】，原因【证据】，当前处方及执行【分别状态】，监测【本例非典型快速增长出血、免疫缺陷广泛发作需进一步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冷冻刮除等须同意状态和实录参数，不能将一次治疗写清除病毒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非典型快速增长出血、免疫缺陷广泛发作需进一步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诊疗经过：【多依临床，非典型增大溃疡需病理；生殖器转108的实际结果、药物操作及转归】</w:t>
        <w:br/>
        <w:t>出院诊断：【确定度与版本】</w:t>
        <w:br/>
        <w:t>出院情况：【当次皮损黏膜全身实查】</w:t>
        <w:br/>
        <w:t>医嘱和未决事项：【观察创面色素改变和复发，切勿推断非必要传播途径中适用的确认方案及责任】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护理：【按部位年龄皮损完整性选择外用，黏膜不可套普通角质剥脱中已确认部分】</w:t>
        <w:br/>
        <w:t>复诊及监测：【本例实际项目时点责任】</w:t>
        <w:br/>
        <w:t>警示：【非典型快速增长出血、免疫缺陷广泛发作需进一步评估中需要患者识别的事项】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长期随访：观察创面色素改变和复发，切勿推断非必要传播途径。具体项目、复查频率和责任人来自已确认方案，不统一套固定周期。</w:t>
      </w:r>
    </w:p>
    <w:p>
      <w:pPr>
        <w:spacing w:after="100"/>
      </w:pPr>
      <w:r>
        <w:rPr>
          <w:rFonts w:ascii="Arial" w:hAnsi="Arial" w:eastAsia="宋体"/>
          <w:b w:val="0"/>
          <w:color w:val="000000"/>
          <w:sz w:val="21"/>
        </w:rPr>
        <w:t>31 最终质控：重点核对多依临床，非典型增大溃疡需病理；生殖器转108及部位数目范围、免疫抑制及复发状态；防止将典型表现当事实、风险当并发症、拟治疗当执行。查房层级与真实意见及代码框经10终审。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382" w:name="b382"/>
      <w:pPr>
        <w:pStyle w:val="Heading2"/>
      </w:pPr>
      <w:r>
        <w:t>09 疥疮及其他寄生虫病</w:t>
      </w:r>
      <w:bookmarkEnd w:id="382"/>
    </w:p>
    <w:p>
      <w:pPr>
        <w:spacing w:after="100"/>
      </w:pPr>
      <w:r>
        <w:rPr>
          <w:rFonts w:ascii="Arial" w:hAnsi="Arial" w:eastAsia="宋体"/>
          <w:b w:val="0"/>
          <w:color w:val="000000"/>
          <w:sz w:val="21"/>
        </w:rPr>
        <w:t>01 疾病定义：疥螨感染及虫体相关皮肤反应，接触传播需证据。该定义是专业知识，不能代替本例诊断。</w:t>
      </w:r>
    </w:p>
    <w:p>
      <w:pPr>
        <w:spacing w:after="100"/>
      </w:pPr>
      <w:r>
        <w:rPr>
          <w:rFonts w:ascii="Arial" w:hAnsi="Arial" w:eastAsia="宋体"/>
          <w:b w:val="0"/>
          <w:color w:val="000000"/>
          <w:sz w:val="21"/>
        </w:rPr>
        <w:t>02 病因及发病机制：围绕疥螨感染及虫体相关皮肤反应，接触传播需证据采集相关线索；患者病因只写已核证据，未证实时保留可能性。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临床表现：症状、全身受累及变化按实际病史与检查；重点核实夜间痒、共同生活者、机构接触、既往用药。</w:t>
      </w:r>
    </w:p>
    <w:p>
      <w:pPr>
        <w:spacing w:after="100"/>
      </w:pPr>
      <w:r>
        <w:rPr>
          <w:rFonts w:ascii="Arial" w:hAnsi="Arial" w:eastAsia="宋体"/>
          <w:b w:val="0"/>
          <w:color w:val="000000"/>
          <w:sz w:val="21"/>
        </w:rPr>
        <w:t>04 典型皮损形态：指缝腕部等丘疹隧道，结节及痂型病损分别记录。典型性只用于鉴别，不自动添加到患者查体。</w:t>
      </w:r>
    </w:p>
    <w:p>
      <w:pPr>
        <w:spacing w:after="100"/>
      </w:pPr>
      <w:r>
        <w:rPr>
          <w:rFonts w:ascii="Arial" w:hAnsi="Arial" w:eastAsia="宋体"/>
          <w:b w:val="0"/>
          <w:color w:val="000000"/>
          <w:sz w:val="21"/>
        </w:rPr>
        <w:t>05 皮损部位及分布：逐病灶记录指缝腕部等丘疹隧道，结节及痂型病损分别记录涉及的实际部位侧别、数量排列对称和范围；不补“全身”。</w:t>
      </w:r>
    </w:p>
    <w:p>
      <w:pPr>
        <w:spacing w:after="100"/>
      </w:pPr>
      <w:r>
        <w:rPr>
          <w:rFonts w:ascii="Arial" w:hAnsi="Arial" w:eastAsia="宋体"/>
          <w:b w:val="0"/>
          <w:color w:val="000000"/>
          <w:sz w:val="21"/>
        </w:rPr>
        <w:t>06 病史采集重点：夜间痒、共同生活者、机构接触、既往用药；保留发病与发现、首次与复发、用药计划与执行的差别。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专科检查：按03实查原发继发皮损、黏膜、毛发甲及必要触诊，围绕普通与痂型、免疫状态和聚集暴露记录而不强行检查无关项目。</w:t>
      </w:r>
    </w:p>
    <w:p>
      <w:pPr>
        <w:spacing w:after="100"/>
      </w:pPr>
      <w:r>
        <w:rPr>
          <w:rFonts w:ascii="Arial" w:hAnsi="Arial" w:eastAsia="宋体"/>
          <w:b w:val="0"/>
          <w:color w:val="000000"/>
          <w:sz w:val="21"/>
        </w:rPr>
        <w:t>08 实验室检查：皮肤镜、刮取镜检或虫体证据按实际，阴性不机械排除；检查项目按问题选择，未做不写正常。</w:t>
      </w:r>
    </w:p>
    <w:p>
      <w:pPr>
        <w:spacing w:after="100"/>
      </w:pPr>
      <w:r>
        <w:rPr>
          <w:rFonts w:ascii="Arial" w:hAnsi="Arial" w:eastAsia="宋体"/>
          <w:b w:val="0"/>
          <w:color w:val="000000"/>
          <w:sz w:val="21"/>
        </w:rPr>
        <w:t>09 皮肤镜或其他辅助检查：围绕皮肤镜、刮取镜检或虫体证据按实际，阴性不机械排除选择必要辅查；没有特定指征不常规添加皮肤镜，普通照不当镜图。</w:t>
      </w:r>
    </w:p>
    <w:p>
      <w:pPr>
        <w:spacing w:after="100"/>
      </w:pPr>
      <w:r>
        <w:rPr>
          <w:rFonts w:ascii="Arial" w:hAnsi="Arial" w:eastAsia="宋体"/>
          <w:b w:val="0"/>
          <w:color w:val="000000"/>
          <w:sz w:val="21"/>
        </w:rPr>
        <w:t>10 病理及免疫检查：刮取及接触者处置记录真实；不自动记录家属均已治疗。HE、DIF、IIF及抗体按实际诊断问题选择，非典型或疑难再评取材；无适应证不强制。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诊断标准：采用可核实的适用临床及专科体系，皮肤镜、刮取镜检或虫体证据按实际，阴性不机械排除；未核全文的评分标准不得凭题录复造。</w:t>
      </w:r>
    </w:p>
    <w:p>
      <w:pPr>
        <w:spacing w:after="100"/>
      </w:pPr>
      <w:r>
        <w:rPr>
          <w:rFonts w:ascii="Arial" w:hAnsi="Arial" w:eastAsia="宋体"/>
          <w:b w:val="0"/>
          <w:color w:val="000000"/>
          <w:sz w:val="21"/>
        </w:rPr>
        <w:t>12 诊断依据：逐条将实际指缝腕部等丘疹隧道，结节及痂型病损分别记录与皮肤镜、刮取镜检或虫体证据按实际，阴性不机械排除对应；写本例支持、反对及尚缺证据，保持疑似/初诊/确诊确定度。</w:t>
      </w:r>
    </w:p>
    <w:p>
      <w:pPr>
        <w:spacing w:after="100"/>
      </w:pPr>
      <w:r>
        <w:rPr>
          <w:rFonts w:ascii="Arial" w:hAnsi="Arial" w:eastAsia="宋体"/>
          <w:b w:val="0"/>
          <w:color w:val="000000"/>
          <w:sz w:val="21"/>
        </w:rPr>
        <w:t>13 鉴别诊断：湿疹、痒疹、虫咬、药疹及躯体疾病瘙痒。每项基于本例支持、反对和下一步验证，不机械写全部排除。</w:t>
      </w:r>
    </w:p>
    <w:p>
      <w:pPr>
        <w:spacing w:after="100"/>
      </w:pPr>
      <w:r>
        <w:rPr>
          <w:rFonts w:ascii="Arial" w:hAnsi="Arial" w:eastAsia="宋体"/>
          <w:b w:val="0"/>
          <w:color w:val="000000"/>
          <w:sz w:val="21"/>
        </w:rPr>
        <w:t>14 分型分期及严重程度：普通与痂型、免疫状态和聚集暴露。评分需体系版本、分项、日期和评估者，缺变量不自动算。</w:t>
      </w:r>
    </w:p>
    <w:p>
      <w:pPr>
        <w:spacing w:after="100"/>
      </w:pPr>
      <w:r>
        <w:rPr>
          <w:rFonts w:ascii="Arial" w:hAnsi="Arial" w:eastAsia="宋体"/>
          <w:b w:val="0"/>
          <w:color w:val="000000"/>
          <w:sz w:val="21"/>
        </w:rPr>
        <w:t>15 危急病情识别：痂型高传染、继发感染及机构聚集及时感控协作。危险状态联合06，不等待文书齐全才处置。</w:t>
      </w:r>
    </w:p>
    <w:p>
      <w:pPr>
        <w:spacing w:after="100"/>
      </w:pPr>
      <w:r>
        <w:rPr>
          <w:rFonts w:ascii="Arial" w:hAnsi="Arial" w:eastAsia="宋体"/>
          <w:b w:val="0"/>
          <w:color w:val="000000"/>
          <w:sz w:val="21"/>
        </w:rPr>
        <w:t>16 外用治疗：按年龄妊娠和说明书选择杀疥方案，范围时长须医师确认。该项为决策知识，患者已用与否及用法必须真实。</w:t>
      </w:r>
    </w:p>
    <w:p>
      <w:pPr>
        <w:spacing w:after="100"/>
      </w:pPr>
      <w:r>
        <w:rPr>
          <w:rFonts w:ascii="Arial" w:hAnsi="Arial" w:eastAsia="宋体"/>
          <w:b w:val="0"/>
          <w:color w:val="000000"/>
          <w:sz w:val="21"/>
        </w:rPr>
        <w:t>17 系统治疗：系统药只在适应人群按批准或院内规范评估。不得自动填写剂量频次疗程或疗效，联合07核药物状态。</w:t>
      </w:r>
    </w:p>
    <w:p>
      <w:pPr>
        <w:spacing w:after="100"/>
      </w:pPr>
      <w:r>
        <w:rPr>
          <w:rFonts w:ascii="Arial" w:hAnsi="Arial" w:eastAsia="宋体"/>
          <w:b w:val="0"/>
          <w:color w:val="000000"/>
          <w:sz w:val="21"/>
        </w:rPr>
        <w:t>18 皮肤治疗操作：刮取及接触者处置记录真实；不自动记录家属均已治疗；操作前后按05，拟实施不得写已实施。</w:t>
      </w:r>
    </w:p>
    <w:p>
      <w:pPr>
        <w:spacing w:after="100"/>
      </w:pPr>
      <w:r>
        <w:rPr>
          <w:rFonts w:ascii="Arial" w:hAnsi="Arial" w:eastAsia="宋体"/>
          <w:b w:val="0"/>
          <w:color w:val="000000"/>
          <w:sz w:val="21"/>
        </w:rPr>
        <w:t>19 相关并发症：优先识别痂型高传染、继发感染及机构聚集及时感控协作；继发感染、瘢痕及药物反应均要实际证据，风险不等已经发生。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病例特点：【真实病史，重点夜间痒、共同生活者、机构接触、既往用药；当次指缝腕部等丘疹隧道，结节及痂型病损分别记录】</w:t>
        <w:br/>
        <w:t>初步诊断：【疥疮及其他寄生虫病的实际确定度】</w:t>
        <w:br/>
        <w:t>诊断依据：【实际皮肤镜、刮取镜检或虫体证据按实际，阴性不机械排除】</w:t>
        <w:br/>
        <w:t>鉴别诊断：【湿疹、痒疹、虫咬、药疹及躯体疾病瘙痒的支持反对缺口】</w:t>
        <w:br/>
        <w:t>诊疗计划：【医师确认的按年龄妊娠和说明书选择杀疥方案，范围时长须医师确认及必要检查监测；计划与执行分开】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指缝腕部等丘疹隧道，结节及痂型病损分别记录的实见部分及黏膜全身】，检查【当时可知结果】。目前考虑【诊断及确定度】，实际治疗【真实执行】，本日重点观察【普通与痂型、免疫状态和聚集暴露】，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疥疮及其他寄生虫病当前活动及真实治疗执行、短期反应】，关注【痂型高传染、继发感染及机构聚集及时感控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皮肤镜、刮取镜检或虫体证据按实际，阴性不机械排除与形态对应、湿疹、痒疹、虫咬、药疹及躯体疾病瘙痒的鉴别及普通与痂型、免疫状态和聚集暴露】，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疥疮及其他寄生虫病疑难证据及系统风险】，就【系统药只在适应人群按批准或院内规范评估涉及的本例重大决策】提出【真实策略与条件】，长期重点【治疗后瘙痒可持续，区分再感染与残余炎症】，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普通与痂型、免疫状态和聚集暴露的真实变化及安全检查】，医师决定【实际药物或局部方案】由【原方案】调整为【新方案】，原因【证据】，当前处方及执行【分别状态】，监测【本例痂型高传染、继发感染及机构聚集及时感控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刮取及接触者处置记录真实；不自动记录家属均已治疗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痂型高传染、继发感染及机构聚集及时感控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诊疗经过：【皮肤镜、刮取镜检或虫体证据按实际，阴性不机械排除的实际结果、药物操作及转归】</w:t>
        <w:br/>
        <w:t>出院诊断：【确定度与版本】</w:t>
        <w:br/>
        <w:t>出院情况：【当次皮损黏膜全身实查】</w:t>
        <w:br/>
        <w:t>医嘱和未决事项：【治疗后瘙痒可持续，区分再感染与残余炎症中适用的确认方案及责任】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护理：【按年龄妊娠和说明书选择杀疥方案，范围时长须医师确认中已确认部分】</w:t>
        <w:br/>
        <w:t>复诊及监测：【本例实际项目时点责任】</w:t>
        <w:br/>
        <w:t>警示：【痂型高传染、继发感染及机构聚集及时感控协作中需要患者识别的事项】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长期随访：治疗后瘙痒可持续，区分再感染与残余炎症。具体项目、复查频率和责任人来自已确认方案，不统一套固定周期。</w:t>
      </w:r>
    </w:p>
    <w:p>
      <w:pPr>
        <w:spacing w:after="100"/>
      </w:pPr>
      <w:r>
        <w:rPr>
          <w:rFonts w:ascii="Arial" w:hAnsi="Arial" w:eastAsia="宋体"/>
          <w:b w:val="0"/>
          <w:color w:val="000000"/>
          <w:sz w:val="21"/>
        </w:rPr>
        <w:t>31 最终质控：重点核对皮肤镜、刮取镜检或虫体证据按实际，阴性不机械排除及普通与痂型、免疫状态和聚集暴露；防止将典型表现当事实、风险当并发症、拟治疗当执行。查房层级与真实意见及代码框经10终审。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425" w:name="b425"/>
      <w:pPr>
        <w:pStyle w:val="Heading2"/>
      </w:pPr>
      <w:r>
        <w:t>10 麻风及免疫抑制相关特殊感染</w:t>
      </w:r>
      <w:bookmarkEnd w:id="425"/>
    </w:p>
    <w:p>
      <w:pPr>
        <w:spacing w:after="100"/>
      </w:pPr>
      <w:r>
        <w:rPr>
          <w:rFonts w:ascii="Arial" w:hAnsi="Arial" w:eastAsia="宋体"/>
          <w:b w:val="0"/>
          <w:color w:val="000000"/>
          <w:sz w:val="21"/>
        </w:rPr>
        <w:t>01 疾病定义：麻风累及皮肤及周围神经；机会感染分支须明确病原。该定义是专业知识，不能代替本例诊断。</w:t>
      </w:r>
    </w:p>
    <w:p>
      <w:pPr>
        <w:spacing w:after="100"/>
      </w:pPr>
      <w:r>
        <w:rPr>
          <w:rFonts w:ascii="Arial" w:hAnsi="Arial" w:eastAsia="宋体"/>
          <w:b w:val="0"/>
          <w:color w:val="000000"/>
          <w:sz w:val="21"/>
        </w:rPr>
        <w:t>02 病因及发病机制：围绕麻风累及皮肤及周围神经；机会感染分支须明确病原采集相关线索；患者病因只写已核证据，未证实时保留可能性。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临床表现：症状、全身受累及变化按实际病史与检查；重点核实接触地域、神经症状、免疫抑制药和发热。</w:t>
      </w:r>
    </w:p>
    <w:p>
      <w:pPr>
        <w:spacing w:after="100"/>
      </w:pPr>
      <w:r>
        <w:rPr>
          <w:rFonts w:ascii="Arial" w:hAnsi="Arial" w:eastAsia="宋体"/>
          <w:b w:val="0"/>
          <w:color w:val="000000"/>
          <w:sz w:val="21"/>
        </w:rPr>
        <w:t>04 典型皮损形态：感觉减退斑块、神经异常或免疫抑制下结节坏死分别实查。典型性只用于鉴别，不自动添加到患者查体。</w:t>
      </w:r>
    </w:p>
    <w:p>
      <w:pPr>
        <w:spacing w:after="100"/>
      </w:pPr>
      <w:r>
        <w:rPr>
          <w:rFonts w:ascii="Arial" w:hAnsi="Arial" w:eastAsia="宋体"/>
          <w:b w:val="0"/>
          <w:color w:val="000000"/>
          <w:sz w:val="21"/>
        </w:rPr>
        <w:t>05 皮损部位及分布：逐病灶记录感觉减退斑块、神经异常或免疫抑制下结节坏死分别实查涉及的实际部位侧别、数量排列对称和范围；不补“全身”。</w:t>
      </w:r>
    </w:p>
    <w:p>
      <w:pPr>
        <w:spacing w:after="100"/>
      </w:pPr>
      <w:r>
        <w:rPr>
          <w:rFonts w:ascii="Arial" w:hAnsi="Arial" w:eastAsia="宋体"/>
          <w:b w:val="0"/>
          <w:color w:val="000000"/>
          <w:sz w:val="21"/>
        </w:rPr>
        <w:t>06 病史采集重点：接触地域、神经症状、免疫抑制药和发热；保留发病与发现、首次与复发、用药计划与执行的差别。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专科检查：按03实查原发继发皮损、黏膜、毛发甲及必要触诊，围绕病原确定度、神经功能、免疫状态及器官播散记录而不强行检查无关项目。</w:t>
      </w:r>
    </w:p>
    <w:p>
      <w:pPr>
        <w:spacing w:after="100"/>
      </w:pPr>
      <w:r>
        <w:rPr>
          <w:rFonts w:ascii="Arial" w:hAnsi="Arial" w:eastAsia="宋体"/>
          <w:b w:val="0"/>
          <w:color w:val="000000"/>
          <w:sz w:val="21"/>
        </w:rPr>
        <w:t>08 实验室检查：麻风按行业标准及专病机构检查；机会感染需组织培养病理及分子证据；检查项目按问题选择，未做不写正常。</w:t>
      </w:r>
    </w:p>
    <w:p>
      <w:pPr>
        <w:spacing w:after="100"/>
      </w:pPr>
      <w:r>
        <w:rPr>
          <w:rFonts w:ascii="Arial" w:hAnsi="Arial" w:eastAsia="宋体"/>
          <w:b w:val="0"/>
          <w:color w:val="000000"/>
          <w:sz w:val="21"/>
        </w:rPr>
        <w:t>09 皮肤镜或其他辅助检查：围绕麻风按行业标准及专病机构检查；机会感染需组织培养病理及分子证据选择必要辅查；没有特定指征不常规添加皮肤镜，普通照不当镜图。</w:t>
      </w:r>
    </w:p>
    <w:p>
      <w:pPr>
        <w:spacing w:after="100"/>
      </w:pPr>
      <w:r>
        <w:rPr>
          <w:rFonts w:ascii="Arial" w:hAnsi="Arial" w:eastAsia="宋体"/>
          <w:b w:val="0"/>
          <w:color w:val="000000"/>
          <w:sz w:val="21"/>
        </w:rPr>
        <w:t>10 病理及免疫检查：组织分别送病理与微生物，不能全部甲醛固定。HE、DIF、IIF及抗体按实际诊断问题选择，非典型或疑难再评取材；无适应证不强制。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诊断标准：采用可核实的适用临床及专科体系，麻风按行业标准及专病机构检查；机会感染需组织培养病理及分子证据；未核全文的评分标准不得凭题录复造。</w:t>
      </w:r>
    </w:p>
    <w:p>
      <w:pPr>
        <w:spacing w:after="100"/>
      </w:pPr>
      <w:r>
        <w:rPr>
          <w:rFonts w:ascii="Arial" w:hAnsi="Arial" w:eastAsia="宋体"/>
          <w:b w:val="0"/>
          <w:color w:val="000000"/>
          <w:sz w:val="21"/>
        </w:rPr>
        <w:t>12 诊断依据：逐条将实际感觉减退斑块、神经异常或免疫抑制下结节坏死分别实查与麻风按行业标准及专病机构检查；机会感染需组织培养病理及分子证据对应；写本例支持、反对及尚缺证据，保持疑似/初诊/确诊确定度。</w:t>
      </w:r>
    </w:p>
    <w:p>
      <w:pPr>
        <w:spacing w:after="100"/>
      </w:pPr>
      <w:r>
        <w:rPr>
          <w:rFonts w:ascii="Arial" w:hAnsi="Arial" w:eastAsia="宋体"/>
          <w:b w:val="0"/>
          <w:color w:val="000000"/>
          <w:sz w:val="21"/>
        </w:rPr>
        <w:t>13 鉴别诊断：结节病、皮肤结核、深部真菌、非感染性炎症及肿瘤。每项基于本例支持、反对和下一步验证，不机械写全部排除。</w:t>
      </w:r>
    </w:p>
    <w:p>
      <w:pPr>
        <w:spacing w:after="100"/>
      </w:pPr>
      <w:r>
        <w:rPr>
          <w:rFonts w:ascii="Arial" w:hAnsi="Arial" w:eastAsia="宋体"/>
          <w:b w:val="0"/>
          <w:color w:val="000000"/>
          <w:sz w:val="21"/>
        </w:rPr>
        <w:t>14 分型分期及严重程度：病原确定度、神经功能、免疫状态及器官播散。评分需体系版本、分项、日期和评估者，缺变量不自动算。</w:t>
      </w:r>
    </w:p>
    <w:p>
      <w:pPr>
        <w:spacing w:after="100"/>
      </w:pPr>
      <w:r>
        <w:rPr>
          <w:rFonts w:ascii="Arial" w:hAnsi="Arial" w:eastAsia="宋体"/>
          <w:b w:val="0"/>
          <w:color w:val="000000"/>
          <w:sz w:val="21"/>
        </w:rPr>
        <w:t>15 危急病情识别：新神经功能损害、坏死、持续高热或播散及时感染等多科协作。危险状态联合06，不等待文书齐全才处置。</w:t>
      </w:r>
    </w:p>
    <w:p>
      <w:pPr>
        <w:spacing w:after="100"/>
      </w:pPr>
      <w:r>
        <w:rPr>
          <w:rFonts w:ascii="Arial" w:hAnsi="Arial" w:eastAsia="宋体"/>
          <w:b w:val="0"/>
          <w:color w:val="000000"/>
          <w:sz w:val="21"/>
        </w:rPr>
        <w:t>16 外用治疗：局部处理不能替代全身病因治疗。该项为决策知识，患者已用与否及用法必须真实。</w:t>
      </w:r>
    </w:p>
    <w:p>
      <w:pPr>
        <w:spacing w:after="100"/>
      </w:pPr>
      <w:r>
        <w:rPr>
          <w:rFonts w:ascii="Arial" w:hAnsi="Arial" w:eastAsia="宋体"/>
          <w:b w:val="0"/>
          <w:color w:val="000000"/>
          <w:sz w:val="21"/>
        </w:rPr>
        <w:t>17 系统治疗：专病联合治疗须真实确诊和医嘱，关注反应状态和相互作用。不得自动填写剂量频次疗程或疗效，联合07核药物状态。</w:t>
      </w:r>
    </w:p>
    <w:p>
      <w:pPr>
        <w:spacing w:after="100"/>
      </w:pPr>
      <w:r>
        <w:rPr>
          <w:rFonts w:ascii="Arial" w:hAnsi="Arial" w:eastAsia="宋体"/>
          <w:b w:val="0"/>
          <w:color w:val="000000"/>
          <w:sz w:val="21"/>
        </w:rPr>
        <w:t>18 皮肤治疗操作：组织分别送病理与微生物，不能全部甲醛固定；操作前后按05，拟实施不得写已实施。</w:t>
      </w:r>
    </w:p>
    <w:p>
      <w:pPr>
        <w:spacing w:after="100"/>
      </w:pPr>
      <w:r>
        <w:rPr>
          <w:rFonts w:ascii="Arial" w:hAnsi="Arial" w:eastAsia="宋体"/>
          <w:b w:val="0"/>
          <w:color w:val="000000"/>
          <w:sz w:val="21"/>
        </w:rPr>
        <w:t>19 相关并发症：优先识别新神经功能损害、坏死、持续高热或播散及时感染等多科协作；继发感染、瘢痕及药物反应均要实际证据，风险不等已经发生。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病例特点：【真实病史，重点接触地域、神经症状、免疫抑制药和发热；当次感觉减退斑块、神经异常或免疫抑制下结节坏死分别实查】</w:t>
        <w:br/>
        <w:t>初步诊断：【麻风及免疫抑制相关特殊感染的实际确定度】</w:t>
        <w:br/>
        <w:t>诊断依据：【实际麻风按行业标准及专病机构检查；机会感染需组织培养病理及分子证据】</w:t>
        <w:br/>
        <w:t>鉴别诊断：【结节病、皮肤结核、深部真菌、非感染性炎症及肿瘤的支持反对缺口】</w:t>
        <w:br/>
        <w:t>诊疗计划：【医师确认的局部处理不能替代全身病因治疗及必要检查监测；计划与执行分开】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感觉减退斑块、神经异常或免疫抑制下结节坏死分别实查的实见部分及黏膜全身】，检查【当时可知结果】。目前考虑【诊断及确定度】，实际治疗【真实执行】，本日重点观察【病原确定度、神经功能、免疫状态及器官播散】，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麻风及免疫抑制相关特殊感染当前活动及真实治疗执行、短期反应】，关注【新神经功能损害、坏死、持续高热或播散及时感染等多科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麻风按行业标准及专病机构检查；机会感染需组织培养病理及分子证据与形态对应、结节病、皮肤结核、深部真菌、非感染性炎症及肿瘤的鉴别及病原确定度、神经功能、免疫状态及器官播散】，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麻风及免疫抑制相关特殊感染疑难证据及系统风险】，就【专病联合治疗须真实确诊和医嘱，关注反应状态和相互作用涉及的本例重大决策】提出【真实策略与条件】，长期重点【神经及复发随访、感控报告依当前规范，不贴污名标签】，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病原确定度、神经功能、免疫状态及器官播散的真实变化及安全检查】，医师决定【实际药物或局部方案】由【原方案】调整为【新方案】，原因【证据】，当前处方及执行【分别状态】，监测【本例新神经功能损害、坏死、持续高热或播散及时感染等多科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组织分别送病理与微生物，不能全部甲醛固定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新神经功能损害、坏死、持续高热或播散及时感染等多科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诊疗经过：【麻风按行业标准及专病机构检查；机会感染需组织培养病理及分子证据的实际结果、药物操作及转归】</w:t>
        <w:br/>
        <w:t>出院诊断：【确定度与版本】</w:t>
        <w:br/>
        <w:t>出院情况：【当次皮损黏膜全身实查】</w:t>
        <w:br/>
        <w:t>医嘱和未决事项：【神经及复发随访、感控报告依当前规范，不贴污名标签中适用的确认方案及责任】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护理：【局部处理不能替代全身病因治疗中已确认部分】</w:t>
        <w:br/>
        <w:t>复诊及监测：【本例实际项目时点责任】</w:t>
        <w:br/>
        <w:t>警示：【新神经功能损害、坏死、持续高热或播散及时感染等多科协作中需要患者识别的事项】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长期随访：神经及复发随访、感控报告依当前规范，不贴污名标签。具体项目、复查频率和责任人来自已确认方案，不统一套固定周期。</w:t>
      </w:r>
    </w:p>
    <w:p>
      <w:pPr>
        <w:spacing w:after="100"/>
      </w:pPr>
      <w:r>
        <w:rPr>
          <w:rFonts w:ascii="Arial" w:hAnsi="Arial" w:eastAsia="宋体"/>
          <w:b w:val="0"/>
          <w:color w:val="000000"/>
          <w:sz w:val="21"/>
        </w:rPr>
        <w:t>31 最终质控：重点核对麻风按行业标准及专病机构检查；机会感染需组织培养病理及分子证据及病原确定度、神经功能、免疫状态及器官播散；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参考指南及版本：本组适用依据为R19、R21、R26、R30、R33，正式名称、机构、年份、适用范围、核验日期及核验限制见本文件参考章节。未核原表或说明书不补具体推荐。</w:t>
      </w:r>
    </w:p>
    <w:p>
      <w:bookmarkStart w:id="468" w:name="b468"/>
      <w:pPr>
        <w:pStyle w:val="Heading1"/>
      </w:pPr>
      <w:r>
        <w:t>真实性限制 常见错误与质控</w:t>
      </w:r>
      <w:bookmarkEnd w:id="468"/>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471" w:name="b471"/>
      <w:pPr>
        <w:pStyle w:val="Heading1"/>
      </w:pPr>
      <w:r>
        <w:t>模块协同与版本维护</w:t>
      </w:r>
      <w:bookmarkEnd w:id="471"/>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474" w:name="b474"/>
      <w:pPr>
        <w:pStyle w:val="Heading1"/>
      </w:pPr>
      <w:r>
        <w:t>参考指南及核验范围</w:t>
      </w:r>
      <w:bookmarkEnd w:id="474"/>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R19 Practice Guidelines for Skin and Soft Tissue Infections。发布机构：Infectious Diseases Society of America；年份或版本：2014；适用：软组织感染与坏死性感染协作；核验日期：2026-10-30。核验结果：学会官方正文可见；仅作补充，不替代中国抗菌药物制度及本地耐药数据。</w:t>
      </w:r>
    </w:p>
    <w:p>
      <w:pPr>
        <w:spacing w:after="100"/>
      </w:pPr>
      <w:r>
        <w:rPr>
          <w:rFonts w:ascii="Arial" w:hAnsi="Arial" w:eastAsia="宋体"/>
          <w:b w:val="0"/>
          <w:color w:val="000000"/>
          <w:sz w:val="22"/>
        </w:rPr>
        <w:t>https:/​/​www.idsociety.org/​practice-guideline/​skin-and-soft-tissue-infections/​</w:t>
      </w:r>
    </w:p>
    <w:p>
      <w:pPr>
        <w:spacing w:after="100"/>
      </w:pPr>
      <w:r>
        <w:rPr>
          <w:rFonts w:ascii="Arial" w:hAnsi="Arial" w:eastAsia="宋体"/>
          <w:b w:val="0"/>
          <w:color w:val="000000"/>
          <w:sz w:val="22"/>
        </w:rPr>
        <w:t>R21 淋病诊断 WS 268—2019。发布机构：国家卫生健康委员会；年份或版本：2019；适用：淋病诊断；核验日期：2026-10-30。核验结果：官方卫生健康标准目录可见；未完整核读全文。</w:t>
      </w:r>
    </w:p>
    <w:p>
      <w:pPr>
        <w:spacing w:after="100"/>
      </w:pPr>
      <w:r>
        <w:rPr>
          <w:rFonts w:ascii="Arial" w:hAnsi="Arial" w:eastAsia="宋体"/>
          <w:b w:val="0"/>
          <w:color w:val="000000"/>
          <w:sz w:val="22"/>
        </w:rPr>
        <w:t>https:/​/​www.nhc.gov.cn/​wjw/​s9491/​wsbz.shtml</w:t>
      </w:r>
    </w:p>
    <w:p>
      <w:pPr>
        <w:spacing w:after="100"/>
      </w:pPr>
      <w:r>
        <w:rPr>
          <w:rFonts w:ascii="Arial" w:hAnsi="Arial" w:eastAsia="宋体"/>
          <w:b w:val="0"/>
          <w:color w:val="000000"/>
          <w:sz w:val="22"/>
        </w:rPr>
        <w:t>R26 中国甲真菌病诊疗指南（2021年版）。发布机构：甲真菌病指南专家工作组；年份或版本：版本2021 刊发2022；适用：甲真菌病分型诊断治疗；核验日期：2026-10-30。核验结果：2021版本正式题录可核；已另核到原期刊2026年版正式题录摘要R33，旧版不标最新。</w:t>
      </w:r>
    </w:p>
    <w:p>
      <w:pPr>
        <w:spacing w:after="100"/>
      </w:pPr>
      <w:r>
        <w:rPr>
          <w:rFonts w:ascii="Arial" w:hAnsi="Arial" w:eastAsia="宋体"/>
          <w:b w:val="0"/>
          <w:color w:val="000000"/>
          <w:sz w:val="22"/>
        </w:rPr>
        <w:t>https:/​/​cnki.istiz.org.cn/​kcms/​detail/​detail.aspx?dbcode=CJFQ&amp;dbname=CJFD2022&amp;filename=ZJXZ202201001</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pPr>
        <w:spacing w:after="100"/>
      </w:pPr>
      <w:r>
        <w:rPr>
          <w:rFonts w:ascii="Arial" w:hAnsi="Arial" w:eastAsia="宋体"/>
          <w:b w:val="0"/>
          <w:color w:val="000000"/>
          <w:sz w:val="22"/>
        </w:rPr>
        <w:t>R33 中国甲真菌病临床诊疗指南（2026年版）。发布机构：中国甲真菌病临床诊疗指南工作组及中国人体健康科技促进会皮肤病专业委员会；年份或版本：2026；适用：甲真菌病临床诊断治疗和特殊人群；核验日期：2026-10-30。核验结果：原期刊出版平台2026年第4期题录摘要已核；全文未完整核读，不录具体药量及推荐等级。</w:t>
      </w:r>
    </w:p>
    <w:p>
      <w:pPr>
        <w:spacing w:after="100"/>
      </w:pPr>
      <w:r>
        <w:rPr>
          <w:rFonts w:ascii="Arial" w:hAnsi="Arial" w:eastAsia="宋体"/>
          <w:b w:val="0"/>
          <w:color w:val="000000"/>
          <w:sz w:val="22"/>
        </w:rPr>
        <w:t>https:/​/​zjxz.cbpt.cnki.net/​portal/​journal/​portal/​client/​paper_​list/​type_​benqi</w:t>
      </w:r>
    </w:p>
    <w:p>
      <w:bookmarkStart w:id="486" w:name="b486"/>
      <w:pPr>
        <w:pStyle w:val="Heading1"/>
      </w:pPr>
      <w:r>
        <w:t>虚构病例示例</w:t>
      </w:r>
      <w:bookmarkEnd w:id="486"/>
    </w:p>
    <w:p>
      <w:pPr>
        <w:spacing w:after="100"/>
      </w:pPr>
      <w:r>
        <w:rPr>
          <w:rFonts w:ascii="Arial" w:hAnsi="Arial" w:eastAsia="宋体"/>
          <w:b w:val="0"/>
          <w:color w:val="000000"/>
          <w:sz w:val="22"/>
        </w:rPr>
        <w:t>以下病例完全虚构，仅供规则演示，不得导入真实病例。患者TEST103、住院E01，日期2026年10月30日，事实限定如下。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右腹股沟环状红斑鳞屑2周，今日未做真菌检查。临床考虑股癣待排，需镜检等证据，环状外观不能直接确诊真菌病或指定病原。</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103_细菌真菌病毒寄生虫及其他感染性皮肤病模板库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