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105 痤疮玫瑰痤疮毛发甲病及皮肤附属器疾病模板库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105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本模块涵盖痤疮玫瑰痤疮毛发甲病及皮肤附属器疾病模板库。使用时先核患者及本次住院、真实证据与执行状态，再按任务读取相关章节。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8">
        <w:r>
          <w:rPr>
            <w:sz w:val="20"/>
          </w:rPr>
          <w:t>亚型及特殊情境的差异化规则</w:t>
        </w:r>
      </w:hyperlink>
    </w:p>
    <w:p>
      <w:pPr>
        <w:spacing w:after="40"/>
        <w:ind w:left="230"/>
      </w:pPr>
      <w:hyperlink w:anchor="b33">
        <w:r>
          <w:rPr>
            <w:sz w:val="20"/>
          </w:rPr>
          <w:t>01 寻常痤疮及重度结节囊肿性痤疮</w:t>
        </w:r>
      </w:hyperlink>
    </w:p>
    <w:p>
      <w:pPr>
        <w:spacing w:after="40"/>
        <w:ind w:left="230"/>
      </w:pPr>
      <w:hyperlink w:anchor="b76">
        <w:r>
          <w:rPr>
            <w:sz w:val="20"/>
          </w:rPr>
          <w:t>02 玫瑰痤疮及酒渣鼻表型</w:t>
        </w:r>
      </w:hyperlink>
    </w:p>
    <w:p>
      <w:pPr>
        <w:spacing w:after="40"/>
        <w:ind w:left="230"/>
      </w:pPr>
      <w:hyperlink w:anchor="b119">
        <w:r>
          <w:rPr>
            <w:sz w:val="20"/>
          </w:rPr>
          <w:t>03 雄激素性脱发</w:t>
        </w:r>
      </w:hyperlink>
    </w:p>
    <w:p>
      <w:pPr>
        <w:spacing w:after="40"/>
        <w:ind w:left="230"/>
      </w:pPr>
      <w:hyperlink w:anchor="b162">
        <w:r>
          <w:rPr>
            <w:sz w:val="20"/>
          </w:rPr>
          <w:t>04 斑秃</w:t>
        </w:r>
      </w:hyperlink>
    </w:p>
    <w:p>
      <w:pPr>
        <w:spacing w:after="40"/>
        <w:ind w:left="230"/>
      </w:pPr>
      <w:hyperlink w:anchor="b205">
        <w:r>
          <w:rPr>
            <w:sz w:val="20"/>
          </w:rPr>
          <w:t>05 休止期脱发及其他弥漫脱发</w:t>
        </w:r>
      </w:hyperlink>
    </w:p>
    <w:p>
      <w:pPr>
        <w:spacing w:after="40"/>
        <w:ind w:left="230"/>
      </w:pPr>
      <w:hyperlink w:anchor="b248">
        <w:r>
          <w:rPr>
            <w:sz w:val="20"/>
          </w:rPr>
          <w:t>06 瘢痕性脱发</w:t>
        </w:r>
      </w:hyperlink>
    </w:p>
    <w:p>
      <w:pPr>
        <w:spacing w:after="40"/>
        <w:ind w:left="230"/>
      </w:pPr>
      <w:hyperlink w:anchor="b291">
        <w:r>
          <w:rPr>
            <w:sz w:val="20"/>
          </w:rPr>
          <w:t>07 甲营养不良及甲周炎</w:t>
        </w:r>
      </w:hyperlink>
    </w:p>
    <w:p>
      <w:pPr>
        <w:spacing w:after="40"/>
        <w:ind w:left="230"/>
      </w:pPr>
      <w:hyperlink w:anchor="b334">
        <w:r>
          <w:rPr>
            <w:sz w:val="20"/>
          </w:rPr>
          <w:t>08 化脓性汗腺炎</w:t>
        </w:r>
      </w:hyperlink>
    </w:p>
    <w:p>
      <w:pPr>
        <w:spacing w:after="40"/>
        <w:ind w:left="230"/>
      </w:pPr>
      <w:hyperlink w:anchor="b377">
        <w:r>
          <w:rPr>
            <w:sz w:val="20"/>
          </w:rPr>
          <w:t>09 多汗症臭汗症及其他汗腺病</w:t>
        </w:r>
      </w:hyperlink>
    </w:p>
    <w:p>
      <w:pPr>
        <w:spacing w:after="40"/>
        <w:ind w:left="0"/>
      </w:pPr>
      <w:hyperlink w:anchor="b420">
        <w:r>
          <w:rPr>
            <w:sz w:val="20"/>
          </w:rPr>
          <w:t>真实性限制 常见错误与质控</w:t>
        </w:r>
      </w:hyperlink>
    </w:p>
    <w:p>
      <w:pPr>
        <w:spacing w:after="40"/>
        <w:ind w:left="0"/>
      </w:pPr>
      <w:hyperlink w:anchor="b423">
        <w:r>
          <w:rPr>
            <w:sz w:val="20"/>
          </w:rPr>
          <w:t>模块协同与版本维护</w:t>
        </w:r>
      </w:hyperlink>
    </w:p>
    <w:p>
      <w:pPr>
        <w:spacing w:after="40"/>
        <w:ind w:left="0"/>
      </w:pPr>
      <w:hyperlink w:anchor="b426">
        <w:r>
          <w:rPr>
            <w:sz w:val="20"/>
          </w:rPr>
          <w:t>参考指南及核验范围</w:t>
        </w:r>
      </w:hyperlink>
    </w:p>
    <w:p>
      <w:pPr>
        <w:spacing w:after="40"/>
        <w:ind w:left="0"/>
      </w:pPr>
      <w:hyperlink w:anchor="b442">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寻常痤疮：先检索“寻常痤疮及重度结节囊肿性痤疮”及对应形态证据；以本例部位、年龄、阶段和证据决定分支，不从此目录直接生成诊断。</w:t>
      </w:r>
    </w:p>
    <w:p>
      <w:pPr>
        <w:spacing w:after="100"/>
      </w:pPr>
      <w:r>
        <w:rPr>
          <w:rFonts w:ascii="Arial" w:hAnsi="Arial" w:eastAsia="宋体"/>
          <w:b w:val="0"/>
          <w:color w:val="000000"/>
          <w:sz w:val="22"/>
        </w:rPr>
        <w:t>重度痤疮：先检索“多汗症臭汗症及其他汗腺病”及对应形态证据；以本例部位、年龄、阶段和证据决定分支，不从此目录直接生成诊断。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结节囊肿性痤疮：先检索“多汗症臭汗症及其他汗腺病”及对应形态证据；以本例部位、年龄、阶段和证据决定分支，不从此目录直接生成诊断。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玫瑰痤疮：先检索“玫瑰痤疮及酒渣鼻表型”及对应形态证据；以本例部位、年龄、阶段和证据决定分支，不从此目录直接生成诊断。</w:t>
      </w:r>
    </w:p>
    <w:p>
      <w:pPr>
        <w:spacing w:after="100"/>
      </w:pPr>
      <w:r>
        <w:rPr>
          <w:rFonts w:ascii="Arial" w:hAnsi="Arial" w:eastAsia="宋体"/>
          <w:b w:val="0"/>
          <w:color w:val="000000"/>
          <w:sz w:val="22"/>
        </w:rPr>
        <w:t>酒渣鼻相关表型：先检索“多汗症臭汗症及其他汗腺病”及对应形态证据；以本例部位、年龄、阶段和证据决定分支，不从此目录直接生成诊断。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面部毛囊皮脂腺疾病：先检索“多汗症臭汗症及其他汗腺病”及对应形态证据；以本例部位、年龄、阶段和证据决定分支，不从此目录直接生成诊断。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雄激素性脱发：先检索“雄激素性脱发”及对应形态证据；以本例部位、年龄、阶段和证据决定分支，不从此目录直接生成诊断。</w:t>
      </w:r>
    </w:p>
    <w:p>
      <w:pPr>
        <w:spacing w:after="100"/>
      </w:pPr>
      <w:r>
        <w:rPr>
          <w:rFonts w:ascii="Arial" w:hAnsi="Arial" w:eastAsia="宋体"/>
          <w:b w:val="0"/>
          <w:color w:val="000000"/>
          <w:sz w:val="22"/>
        </w:rPr>
        <w:t>斑秃：先检索“斑秃”及对应形态证据；以本例部位、年龄、阶段和证据决定分支，不从此目录直接生成诊断。</w:t>
      </w:r>
    </w:p>
    <w:p>
      <w:pPr>
        <w:spacing w:after="100"/>
      </w:pPr>
      <w:r>
        <w:rPr>
          <w:rFonts w:ascii="Arial" w:hAnsi="Arial" w:eastAsia="宋体"/>
          <w:b w:val="0"/>
          <w:color w:val="000000"/>
          <w:sz w:val="22"/>
        </w:rPr>
        <w:t>休止期脱发：先检索“休止期脱发及其他弥漫脱发”及对应形态证据；以本例部位、年龄、阶段和证据决定分支，不从此目录直接生成诊断。</w:t>
      </w:r>
    </w:p>
    <w:p>
      <w:pPr>
        <w:spacing w:after="100"/>
      </w:pPr>
      <w:r>
        <w:rPr>
          <w:rFonts w:ascii="Arial" w:hAnsi="Arial" w:eastAsia="宋体"/>
          <w:b w:val="0"/>
          <w:color w:val="000000"/>
          <w:sz w:val="22"/>
        </w:rPr>
        <w:t>瘢痕性脱发：先检索“瘢痕性脱发”及对应形态证据；以本例部位、年龄、阶段和证据决定分支，不从此目录直接生成诊断。</w:t>
      </w:r>
    </w:p>
    <w:p>
      <w:pPr>
        <w:spacing w:after="100"/>
      </w:pPr>
      <w:r>
        <w:rPr>
          <w:rFonts w:ascii="Arial" w:hAnsi="Arial" w:eastAsia="宋体"/>
          <w:b w:val="0"/>
          <w:color w:val="000000"/>
          <w:sz w:val="22"/>
        </w:rPr>
        <w:t>其他脱发疾病：先检索“多汗症臭汗症及其他汗腺病”及对应形态证据；以本例部位、年龄、阶段和证据决定分支，不从此目录直接生成诊断。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甲营养不良：先检索“甲营养不良及甲周炎”及对应形态证据；感染性甲病证据归103，甲结构描述联合105；以本例部位、年龄、阶段和证据决定分支，不从此目录直接生成诊断。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银屑病甲损害：先检索“多汗症臭汗症及其他汗腺病”及对应形态证据；感染性甲病证据归103，甲结构描述联合105；以本例部位、年龄、阶段和证据决定分支，不从此目录直接生成诊断。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甲真菌病相关鉴别：先检索“多汗症臭汗症及其他汗腺病”及对应形态证据；感染性甲病证据归103，甲结构描述联合105；以本例部位、年龄、阶段和证据决定分支，不从此目录直接生成诊断。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甲周炎：先检索“甲营养不良及甲周炎”及对应形态证据；感染性甲病证据归103，甲结构描述联合105；以本例部位、年龄、阶段和证据决定分支，不从此目录直接生成诊断。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多汗症：先检索“多汗症臭汗症及其他汗腺病”及对应形态证据；以本例部位、年龄、阶段和证据决定分支，不从此目录直接生成诊断。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臭汗症：先检索“多汗症臭汗症及其他汗腺病”及对应形态证据；以本例部位、年龄、阶段和证据决定分支，不从此目录直接生成诊断。</w:t>
      </w:r>
    </w:p>
    <w:p>
      <w:pPr>
        <w:spacing w:after="100"/>
      </w:pPr>
      <w:r>
        <w:rPr>
          <w:rFonts w:ascii="Arial" w:hAnsi="Arial" w:eastAsia="宋体"/>
          <w:b w:val="0"/>
          <w:color w:val="000000"/>
          <w:sz w:val="22"/>
        </w:rPr>
        <w:t>化脓性汗腺炎：先检索“化脓性汗腺炎”及对应形态证据；以本例部位、年龄、阶段和证据决定分支，不从此目录直接生成诊断。</w:t>
      </w:r>
    </w:p>
    <w:p>
      <w:pPr>
        <w:spacing w:after="100"/>
      </w:pPr>
      <w:r>
        <w:rPr>
          <w:rFonts w:ascii="Arial" w:hAnsi="Arial" w:eastAsia="宋体"/>
          <w:b w:val="0"/>
          <w:color w:val="000000"/>
          <w:sz w:val="22"/>
        </w:rPr>
        <w:t>其他毛囊及汗腺疾病：先检索“多汗症臭汗症及其他汗腺病”及对应形态证据；以本例部位、年龄、阶段和证据决定分支，不从此目录直接生成诊断。</w:t>
      </w:r>
    </w:p>
    <w:p>
      <w:bookmarkStart w:id="28" w:name="b28"/>
      <w:pPr>
        <w:pStyle w:val="Heading1"/>
      </w:pPr>
      <w:r>
        <w:t>亚型及特殊情境的差异化规则</w:t>
      </w:r>
      <w:bookmarkEnd w:id="28"/>
    </w:p>
    <w:p>
      <w:pPr>
        <w:spacing w:after="100"/>
      </w:pPr>
      <w:r>
        <w:rPr>
          <w:rFonts w:ascii="Arial" w:hAnsi="Arial" w:eastAsia="宋体"/>
          <w:b w:val="0"/>
          <w:color w:val="000000"/>
          <w:sz w:val="22"/>
        </w:rPr>
        <w:t>面部毛囊皮脂腺与玫瑰痤疮：粉刺为痤疮判断重要形态，毛囊性脓疱需考虑细菌或马拉色菌等；面中部潮红不自动玫瑰痤疮。酒渣鼻是相关传统称谓，增生肥厚、眼部和炎症表型应具体写。</w:t>
      </w:r>
    </w:p>
    <w:p>
      <w:pPr>
        <w:spacing w:after="100"/>
      </w:pPr>
      <w:r>
        <w:rPr>
          <w:rFonts w:ascii="Arial" w:hAnsi="Arial" w:eastAsia="宋体"/>
          <w:b w:val="0"/>
          <w:color w:val="000000"/>
          <w:sz w:val="22"/>
        </w:rPr>
        <w:t>其他脱发及拉发试验：非瘢痕性和瘢痕性先区分；牵拉、拔毛、药物、营养和内分泌因素按实际病史。拉发试验部位、洗发间隔、方法及结果如实记录，不从照片推阳性；未提供病因不默认AGA。</w:t>
      </w:r>
    </w:p>
    <w:p>
      <w:pPr>
        <w:spacing w:after="100"/>
      </w:pPr>
      <w:r>
        <w:rPr>
          <w:rFonts w:ascii="Arial" w:hAnsi="Arial" w:eastAsia="宋体"/>
          <w:b w:val="0"/>
          <w:color w:val="000000"/>
          <w:sz w:val="22"/>
        </w:rPr>
        <w:t>银屑病甲与甲真菌鉴别：银屑病甲和真菌感染可并存，点凹或油滴样改变不能排真菌，镜检培养只归相应甲样本；新发单甲色素带或甲下肿物应另排肿瘤，不能用全手“甲营养不良”掩盖。</w:t>
      </w:r>
    </w:p>
    <w:p>
      <w:pPr>
        <w:spacing w:after="100"/>
      </w:pPr>
      <w:r>
        <w:rPr>
          <w:rFonts w:ascii="Arial" w:hAnsi="Arial" w:eastAsia="宋体"/>
          <w:b w:val="0"/>
          <w:color w:val="000000"/>
          <w:sz w:val="22"/>
        </w:rPr>
        <w:t>化脓性汗腺炎与反复感染：典型部位复发结节脓肿窦道与瘢痕支持临床框架；有脓液不等以细菌为唯一病因，分期与活动度分别评。腋窝或腹股沟单次脓肿不能自动诊断HS。</w:t>
      </w:r>
    </w:p>
    <w:p>
      <w:bookmarkStart w:id="33" w:name="b33"/>
      <w:pPr>
        <w:pStyle w:val="Heading2"/>
      </w:pPr>
      <w:r>
        <w:t>01 寻常痤疮及重度结节囊肿性痤疮</w:t>
      </w:r>
      <w:bookmarkEnd w:id="33"/>
    </w:p>
    <w:p>
      <w:pPr>
        <w:spacing w:after="100"/>
      </w:pPr>
      <w:r>
        <w:rPr>
          <w:rFonts w:ascii="Arial" w:hAnsi="Arial" w:eastAsia="宋体"/>
          <w:b w:val="0"/>
          <w:color w:val="000000"/>
          <w:sz w:val="21"/>
        </w:rPr>
        <w:t>01 疾病定义：毛囊皮脂腺慢性炎症性疾病，多因素参与。该定义是专业知识，不能代替本例诊断。</w:t>
      </w:r>
    </w:p>
    <w:p>
      <w:pPr>
        <w:spacing w:after="100"/>
      </w:pPr>
      <w:r>
        <w:rPr>
          <w:rFonts w:ascii="Arial" w:hAnsi="Arial" w:eastAsia="宋体"/>
          <w:b w:val="0"/>
          <w:color w:val="000000"/>
          <w:sz w:val="21"/>
        </w:rPr>
        <w:t>02 病因及发病机制：围绕毛囊皮脂腺慢性炎症性疾病，多因素参与采集相关线索；患者病因只写已核证据，未证实时保留可能性。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临床表现：症状、全身受累及变化按实际病史与检查；重点核实病程、激素药物、月经或内分泌线索、既往用药和心理负担。</w:t>
      </w:r>
    </w:p>
    <w:p>
      <w:pPr>
        <w:spacing w:after="100"/>
      </w:pPr>
      <w:r>
        <w:rPr>
          <w:rFonts w:ascii="Arial" w:hAnsi="Arial" w:eastAsia="宋体"/>
          <w:b w:val="0"/>
          <w:color w:val="000000"/>
          <w:sz w:val="21"/>
        </w:rPr>
        <w:t>04 典型皮损形态：粉刺、丘疹脓疱、结节囊肿及瘢痕分别计数部位。典型性只用于鉴别，不自动添加到患者查体。</w:t>
      </w:r>
    </w:p>
    <w:p>
      <w:pPr>
        <w:spacing w:after="100"/>
      </w:pPr>
      <w:r>
        <w:rPr>
          <w:rFonts w:ascii="Arial" w:hAnsi="Arial" w:eastAsia="宋体"/>
          <w:b w:val="0"/>
          <w:color w:val="000000"/>
          <w:sz w:val="21"/>
        </w:rPr>
        <w:t>05 皮损部位及分布：逐病灶记录粉刺、丘疹脓疱、结节囊肿及瘢痕分别计数部位涉及的实际部位侧别、数量排列对称和范围；不补“全身”。</w:t>
      </w:r>
    </w:p>
    <w:p>
      <w:pPr>
        <w:spacing w:after="100"/>
      </w:pPr>
      <w:r>
        <w:rPr>
          <w:rFonts w:ascii="Arial" w:hAnsi="Arial" w:eastAsia="宋体"/>
          <w:b w:val="0"/>
          <w:color w:val="000000"/>
          <w:sz w:val="21"/>
        </w:rPr>
        <w:t>06 病史采集重点：病程、激素药物、月经或内分泌线索、既往用药和心理负担；保留发病与发现、首次与复发、用药计划与执行的差别。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专科检查：按03实查原发继发皮损、黏膜、毛发甲及必要触诊，围绕结节瘢痕风险和生活质量；2025分级细则未核不伪填记录而不强行检查无关项目。</w:t>
      </w:r>
    </w:p>
    <w:p>
      <w:pPr>
        <w:spacing w:after="100"/>
      </w:pPr>
      <w:r>
        <w:rPr>
          <w:rFonts w:ascii="Arial" w:hAnsi="Arial" w:eastAsia="宋体"/>
          <w:b w:val="0"/>
          <w:color w:val="000000"/>
          <w:sz w:val="21"/>
        </w:rPr>
        <w:t>08 实验室检查：临床为主；分级用明确版本及实际皮损类型，不默认全套激素检查；检查项目按问题选择，未做不写正常。</w:t>
      </w:r>
    </w:p>
    <w:p>
      <w:pPr>
        <w:spacing w:after="100"/>
      </w:pPr>
      <w:r>
        <w:rPr>
          <w:rFonts w:ascii="Arial" w:hAnsi="Arial" w:eastAsia="宋体"/>
          <w:b w:val="0"/>
          <w:color w:val="000000"/>
          <w:sz w:val="21"/>
        </w:rPr>
        <w:t>09 皮肤镜或其他辅助检查：围绕临床为主；分级用明确版本及实际皮损类型，不默认全套激素检查选择必要辅查；没有特定指征不常规添加皮肤镜，普通照不当镜图。</w:t>
      </w:r>
    </w:p>
    <w:p>
      <w:pPr>
        <w:spacing w:after="100"/>
      </w:pPr>
      <w:r>
        <w:rPr>
          <w:rFonts w:ascii="Arial" w:hAnsi="Arial" w:eastAsia="宋体"/>
          <w:b w:val="0"/>
          <w:color w:val="000000"/>
          <w:sz w:val="21"/>
        </w:rPr>
        <w:t>10 病理及免疫检查：光电或皮损内处理须适应证和实际参数，不把美容建议写已实施。HE、DIF、IIF及抗体按实际诊断问题选择，非典型或疑难再评取材；无适应证不强制。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诊断标准：采用可核实的适用临床及专科体系，临床为主；分级用明确版本及实际皮损类型，不默认全套激素检查；未核全文的评分标准不得凭题录复造。</w:t>
      </w:r>
    </w:p>
    <w:p>
      <w:pPr>
        <w:spacing w:after="100"/>
      </w:pPr>
      <w:r>
        <w:rPr>
          <w:rFonts w:ascii="Arial" w:hAnsi="Arial" w:eastAsia="宋体"/>
          <w:b w:val="0"/>
          <w:color w:val="000000"/>
          <w:sz w:val="21"/>
        </w:rPr>
        <w:t>12 诊断依据：逐条将实际粉刺、丘疹脓疱、结节囊肿及瘢痕分别计数部位与临床为主；分级用明确版本及实际皮损类型，不默认全套激素检查对应；写本例支持、反对及尚缺证据，保持疑似/初诊/确诊确定度。</w:t>
      </w:r>
    </w:p>
    <w:p>
      <w:pPr>
        <w:spacing w:after="100"/>
      </w:pPr>
      <w:r>
        <w:rPr>
          <w:rFonts w:ascii="Arial" w:hAnsi="Arial" w:eastAsia="宋体"/>
          <w:b w:val="0"/>
          <w:color w:val="000000"/>
          <w:sz w:val="21"/>
        </w:rPr>
        <w:t>13 鉴别诊断：玫瑰痤疮、毛囊炎、药物性痤疮样疹、化脓性汗腺炎。每项基于本例支持、反对和下一步验证，不机械写全部排除。</w:t>
      </w:r>
    </w:p>
    <w:p>
      <w:pPr>
        <w:spacing w:after="100"/>
      </w:pPr>
      <w:r>
        <w:rPr>
          <w:rFonts w:ascii="Arial" w:hAnsi="Arial" w:eastAsia="宋体"/>
          <w:b w:val="0"/>
          <w:color w:val="000000"/>
          <w:sz w:val="21"/>
        </w:rPr>
        <w:t>14 分型分期及严重程度：结节瘢痕风险和生活质量；2025分级细则未核不伪填。评分需体系版本、分项、日期和评估者，缺变量不自动算。</w:t>
      </w:r>
    </w:p>
    <w:p>
      <w:pPr>
        <w:spacing w:after="100"/>
      </w:pPr>
      <w:r>
        <w:rPr>
          <w:rFonts w:ascii="Arial" w:hAnsi="Arial" w:eastAsia="宋体"/>
          <w:b w:val="0"/>
          <w:color w:val="000000"/>
          <w:sz w:val="21"/>
        </w:rPr>
        <w:t>15 危急病情识别：暴发伴发热关节痛、重度心理危机或快速瘢痕需升级。危险状态联合06，不等待文书齐全才处置。</w:t>
      </w:r>
    </w:p>
    <w:p>
      <w:pPr>
        <w:spacing w:after="100"/>
      </w:pPr>
      <w:r>
        <w:rPr>
          <w:rFonts w:ascii="Arial" w:hAnsi="Arial" w:eastAsia="宋体"/>
          <w:b w:val="0"/>
          <w:color w:val="000000"/>
          <w:sz w:val="21"/>
        </w:rPr>
        <w:t>16 外用治疗：按表型选择维A酸类、过氧化苯甲酰等，抗菌不无限单用。该项为决策知识，患者已用与否及用法必须真实。</w:t>
      </w:r>
    </w:p>
    <w:p>
      <w:pPr>
        <w:spacing w:after="100"/>
      </w:pPr>
      <w:r>
        <w:rPr>
          <w:rFonts w:ascii="Arial" w:hAnsi="Arial" w:eastAsia="宋体"/>
          <w:b w:val="0"/>
          <w:color w:val="000000"/>
          <w:sz w:val="21"/>
        </w:rPr>
        <w:t>17 系统治疗：系统抗菌或异维A酸由医师权衡；妊娠防护、肝脂及精神症状评估。不得自动填写剂量频次疗程或疗效，联合07核药物状态。</w:t>
      </w:r>
    </w:p>
    <w:p>
      <w:pPr>
        <w:spacing w:after="100"/>
      </w:pPr>
      <w:r>
        <w:rPr>
          <w:rFonts w:ascii="Arial" w:hAnsi="Arial" w:eastAsia="宋体"/>
          <w:b w:val="0"/>
          <w:color w:val="000000"/>
          <w:sz w:val="21"/>
        </w:rPr>
        <w:t>18 皮肤治疗操作：光电或皮损内处理须适应证和实际参数，不把美容建议写已实施；操作前后按05，拟实施不得写已实施。</w:t>
      </w:r>
    </w:p>
    <w:p>
      <w:pPr>
        <w:spacing w:after="100"/>
      </w:pPr>
      <w:r>
        <w:rPr>
          <w:rFonts w:ascii="Arial" w:hAnsi="Arial" w:eastAsia="宋体"/>
          <w:b w:val="0"/>
          <w:color w:val="000000"/>
          <w:sz w:val="21"/>
        </w:rPr>
        <w:t>19 相关并发症：优先识别暴发伴发热关节痛、重度心理危机或快速瘢痕需升级；继发感染、瘢痕及药物反应均要实际证据，风险不等已经发生。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病例特点：【真实病史，重点病程、激素药物、月经或内分泌线索、既往用药和心理负担；当次粉刺、丘疹脓疱、结节囊肿及瘢痕分别计数部位】</w:t>
        <w:br/>
        <w:t>初步诊断：【寻常痤疮及重度结节囊肿性痤疮的实际确定度】</w:t>
        <w:br/>
        <w:t>诊断依据：【实际临床为主；分级用明确版本及实际皮损类型，不默认全套激素检查】</w:t>
        <w:br/>
        <w:t>鉴别诊断：【玫瑰痤疮、毛囊炎、药物性痤疮样疹、化脓性汗腺炎的支持反对缺口】</w:t>
        <w:br/>
        <w:t>诊疗计划：【医师确认的按表型选择维A酸类、过氧化苯甲酰等，抗菌不无限单用及必要检查监测；计划与执行分开】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粉刺、丘疹脓疱、结节囊肿及瘢痕分别计数部位的实见部分及黏膜全身】，检查【当时可知结果】。目前考虑【诊断及确定度】，实际治疗【真实执行】，本日重点观察【结节瘢痕风险和生活质量；2025分级细则未核不伪填】，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寻常痤疮及重度结节囊肿性痤疮当前活动及真实治疗执行、短期反应】，关注【暴发伴发热关节痛、重度心理危机或快速瘢痕需升级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为主；分级用明确版本及实际皮损类型，不默认全套激素检查与形态对应、玫瑰痤疮、毛囊炎、药物性痤疮样疹、化脓性汗腺炎的鉴别及结节瘢痕风险和生活质量；2025分级细则未核不伪填】，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寻常痤疮及重度结节囊肿性痤疮疑难证据及系统风险】，就【系统抗菌或异维A酸由医师权衡；妊娠防护、肝脂及精神症状评估涉及的本例重大决策】提出【真实策略与条件】，长期重点【炎症和瘢痕分别评价，出院药物监测与生育风险有具体计划】，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结节瘢痕风险和生活质量；2025分级细则未核不伪填的真实变化及安全检查】，医师决定【实际药物或局部方案】由【原方案】调整为【新方案】，原因【证据】，当前处方及执行【分别状态】，监测【本例暴发伴发热关节痛、重度心理危机或快速瘢痕需升级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光电或皮损内处理须适应证和实际参数，不把美容建议写已实施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暴发伴发热关节痛、重度心理危机或快速瘢痕需升级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诊疗经过：【临床为主；分级用明确版本及实际皮损类型，不默认全套激素检查的实际结果、药物操作及转归】</w:t>
        <w:br/>
        <w:t>出院诊断：【确定度与版本】</w:t>
        <w:br/>
        <w:t>出院情况：【当次皮损黏膜全身实查】</w:t>
        <w:br/>
        <w:t>医嘱和未决事项：【炎症和瘢痕分别评价，出院药物监测与生育风险有具体计划中适用的确认方案及责任】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护理：【按表型选择维A酸类、过氧化苯甲酰等，抗菌不无限单用中已确认部分】</w:t>
        <w:br/>
        <w:t>复诊及监测：【本例实际项目时点责任】</w:t>
        <w:br/>
        <w:t>警示：【暴发伴发热关节痛、重度心理危机或快速瘢痕需升级中需要患者识别的事项】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长期随访：炎症和瘢痕分别评价，出院药物监测与生育风险有具体计划。具体项目、复查频率和责任人来自已确认方案，不统一套固定周期。</w:t>
      </w:r>
    </w:p>
    <w:p>
      <w:pPr>
        <w:spacing w:after="100"/>
      </w:pPr>
      <w:r>
        <w:rPr>
          <w:rFonts w:ascii="Arial" w:hAnsi="Arial" w:eastAsia="宋体"/>
          <w:b w:val="0"/>
          <w:color w:val="000000"/>
          <w:sz w:val="21"/>
        </w:rPr>
        <w:t>31 最终质控：重点核对临床为主；分级用明确版本及实际皮损类型，不默认全套激素检查及结节瘢痕风险和生活质量；2025分级细则未核不伪填；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76" w:name="b76"/>
      <w:pPr>
        <w:pStyle w:val="Heading2"/>
      </w:pPr>
      <w:r>
        <w:t>02 玫瑰痤疮及酒渣鼻表型</w:t>
      </w:r>
      <w:bookmarkEnd w:id="76"/>
    </w:p>
    <w:p>
      <w:pPr>
        <w:spacing w:after="100"/>
      </w:pPr>
      <w:r>
        <w:rPr>
          <w:rFonts w:ascii="Arial" w:hAnsi="Arial" w:eastAsia="宋体"/>
          <w:b w:val="0"/>
          <w:color w:val="000000"/>
          <w:sz w:val="21"/>
        </w:rPr>
        <w:t>01 疾病定义：面中部慢性炎症与神经血管相关疾病。该定义是专业知识，不能代替本例诊断。</w:t>
      </w:r>
    </w:p>
    <w:p>
      <w:pPr>
        <w:spacing w:after="100"/>
      </w:pPr>
      <w:r>
        <w:rPr>
          <w:rFonts w:ascii="Arial" w:hAnsi="Arial" w:eastAsia="宋体"/>
          <w:b w:val="0"/>
          <w:color w:val="000000"/>
          <w:sz w:val="21"/>
        </w:rPr>
        <w:t>02 病因及发病机制：围绕面中部慢性炎症与神经血管相关疾病采集相关线索；患者病因只写已核证据，未证实时保留可能性。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临床表现：症状、全身受累及变化按实际病史与检查；重点核实触发因素、眼症状、外用激素及既往光电操作。</w:t>
      </w:r>
    </w:p>
    <w:p>
      <w:pPr>
        <w:spacing w:after="100"/>
      </w:pPr>
      <w:r>
        <w:rPr>
          <w:rFonts w:ascii="Arial" w:hAnsi="Arial" w:eastAsia="宋体"/>
          <w:b w:val="0"/>
          <w:color w:val="000000"/>
          <w:sz w:val="21"/>
        </w:rPr>
        <w:t>04 典型皮损形态：潮红、持续红斑、毛细血管扩张、丘疹脓疱和增生表型。典型性只用于鉴别，不自动添加到患者查体。</w:t>
      </w:r>
    </w:p>
    <w:p>
      <w:pPr>
        <w:spacing w:after="100"/>
      </w:pPr>
      <w:r>
        <w:rPr>
          <w:rFonts w:ascii="Arial" w:hAnsi="Arial" w:eastAsia="宋体"/>
          <w:b w:val="0"/>
          <w:color w:val="000000"/>
          <w:sz w:val="21"/>
        </w:rPr>
        <w:t>05 皮损部位及分布：逐病灶记录潮红、持续红斑、毛细血管扩张、丘疹脓疱和增生表型涉及的实际部位侧别、数量排列对称和范围；不补“全身”。</w:t>
      </w:r>
    </w:p>
    <w:p>
      <w:pPr>
        <w:spacing w:after="100"/>
      </w:pPr>
      <w:r>
        <w:rPr>
          <w:rFonts w:ascii="Arial" w:hAnsi="Arial" w:eastAsia="宋体"/>
          <w:b w:val="0"/>
          <w:color w:val="000000"/>
          <w:sz w:val="21"/>
        </w:rPr>
        <w:t>06 病史采集重点：触发因素、眼症状、外用激素及既往光电操作；保留发病与发现、首次与复发、用药计划与执行的差别。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专科检查：按03实查原发继发皮损、黏膜、毛发甲及必要触诊，围绕按表型及部位记录，不把注册2026版当正式分型规则记录而不强行检查无关项目。</w:t>
      </w:r>
    </w:p>
    <w:p>
      <w:pPr>
        <w:spacing w:after="100"/>
      </w:pPr>
      <w:r>
        <w:rPr>
          <w:rFonts w:ascii="Arial" w:hAnsi="Arial" w:eastAsia="宋体"/>
          <w:b w:val="0"/>
          <w:color w:val="000000"/>
          <w:sz w:val="21"/>
        </w:rPr>
        <w:t>08 实验室检查：2021正式指南诊断思路；皮肤镜可辅助，螨虫存在不独立确诊；检查项目按问题选择，未做不写正常。</w:t>
      </w:r>
    </w:p>
    <w:p>
      <w:pPr>
        <w:spacing w:after="100"/>
      </w:pPr>
      <w:r>
        <w:rPr>
          <w:rFonts w:ascii="Arial" w:hAnsi="Arial" w:eastAsia="宋体"/>
          <w:b w:val="0"/>
          <w:color w:val="000000"/>
          <w:sz w:val="21"/>
        </w:rPr>
        <w:t>09 皮肤镜或其他辅助检查：围绕2021正式指南诊断思路；皮肤镜可辅助，螨虫存在不独立确诊选择必要辅查；没有特定指征不常规添加皮肤镜，普通照不当镜图。</w:t>
      </w:r>
    </w:p>
    <w:p>
      <w:pPr>
        <w:spacing w:after="100"/>
      </w:pPr>
      <w:r>
        <w:rPr>
          <w:rFonts w:ascii="Arial" w:hAnsi="Arial" w:eastAsia="宋体"/>
          <w:b w:val="0"/>
          <w:color w:val="000000"/>
          <w:sz w:val="21"/>
        </w:rPr>
        <w:t>10 病理及免疫检查：血管及增生性治疗依授权和参数记录，IPL非激光。HE、DIF、IIF及抗体按实际诊断问题选择，非典型或疑难再评取材；无适应证不强制。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诊断标准：采用可核实的适用临床及专科体系，2021正式指南诊断思路；皮肤镜可辅助，螨虫存在不独立确诊；未核全文的评分标准不得凭题录复造。</w:t>
      </w:r>
    </w:p>
    <w:p>
      <w:pPr>
        <w:spacing w:after="100"/>
      </w:pPr>
      <w:r>
        <w:rPr>
          <w:rFonts w:ascii="Arial" w:hAnsi="Arial" w:eastAsia="宋体"/>
          <w:b w:val="0"/>
          <w:color w:val="000000"/>
          <w:sz w:val="21"/>
        </w:rPr>
        <w:t>12 诊断依据：逐条将实际潮红、持续红斑、毛细血管扩张、丘疹脓疱和增生表型与2021正式指南诊断思路；皮肤镜可辅助，螨虫存在不独立确诊对应；写本例支持、反对及尚缺证据，保持疑似/初诊/确诊确定度。</w:t>
      </w:r>
    </w:p>
    <w:p>
      <w:pPr>
        <w:spacing w:after="100"/>
      </w:pPr>
      <w:r>
        <w:rPr>
          <w:rFonts w:ascii="Arial" w:hAnsi="Arial" w:eastAsia="宋体"/>
          <w:b w:val="0"/>
          <w:color w:val="000000"/>
          <w:sz w:val="21"/>
        </w:rPr>
        <w:t>13 鉴别诊断：痤疮、脂溢性皮炎、接触性皮炎、狼疮及药物潮红。每项基于本例支持、反对和下一步验证，不机械写全部排除。</w:t>
      </w:r>
    </w:p>
    <w:p>
      <w:pPr>
        <w:spacing w:after="100"/>
      </w:pPr>
      <w:r>
        <w:rPr>
          <w:rFonts w:ascii="Arial" w:hAnsi="Arial" w:eastAsia="宋体"/>
          <w:b w:val="0"/>
          <w:color w:val="000000"/>
          <w:sz w:val="21"/>
        </w:rPr>
        <w:t>14 分型分期及严重程度：按表型及部位记录，不把注册2026版当正式分型规则。评分需体系版本、分项、日期和评估者，缺变量不自动算。</w:t>
      </w:r>
    </w:p>
    <w:p>
      <w:pPr>
        <w:spacing w:after="100"/>
      </w:pPr>
      <w:r>
        <w:rPr>
          <w:rFonts w:ascii="Arial" w:hAnsi="Arial" w:eastAsia="宋体"/>
          <w:b w:val="0"/>
          <w:color w:val="000000"/>
          <w:sz w:val="21"/>
        </w:rPr>
        <w:t>15 危急病情识别：眼痛畏光视力变化需眼科；非典型鼻部结节排肿瘤。危险状态联合06，不等待文书齐全才处置。</w:t>
      </w:r>
    </w:p>
    <w:p>
      <w:pPr>
        <w:spacing w:after="100"/>
      </w:pPr>
      <w:r>
        <w:rPr>
          <w:rFonts w:ascii="Arial" w:hAnsi="Arial" w:eastAsia="宋体"/>
          <w:b w:val="0"/>
          <w:color w:val="000000"/>
          <w:sz w:val="21"/>
        </w:rPr>
        <w:t>16 外用治疗：温和清洁防晒屏障护理，表型匹配外用抗炎。该项为决策知识，患者已用与否及用法必须真实。</w:t>
      </w:r>
    </w:p>
    <w:p>
      <w:pPr>
        <w:spacing w:after="100"/>
      </w:pPr>
      <w:r>
        <w:rPr>
          <w:rFonts w:ascii="Arial" w:hAnsi="Arial" w:eastAsia="宋体"/>
          <w:b w:val="0"/>
          <w:color w:val="000000"/>
          <w:sz w:val="21"/>
        </w:rPr>
        <w:t>17 系统治疗：系统药按炎症程度和医师决定，不以单纯面红自动长期抗菌。不得自动填写剂量频次疗程或疗效，联合07核药物状态。</w:t>
      </w:r>
    </w:p>
    <w:p>
      <w:pPr>
        <w:spacing w:after="100"/>
      </w:pPr>
      <w:r>
        <w:rPr>
          <w:rFonts w:ascii="Arial" w:hAnsi="Arial" w:eastAsia="宋体"/>
          <w:b w:val="0"/>
          <w:color w:val="000000"/>
          <w:sz w:val="21"/>
        </w:rPr>
        <w:t>18 皮肤治疗操作：血管及增生性治疗依授权和参数记录，IPL非激光；操作前后按05，拟实施不得写已实施。</w:t>
      </w:r>
    </w:p>
    <w:p>
      <w:pPr>
        <w:spacing w:after="100"/>
      </w:pPr>
      <w:r>
        <w:rPr>
          <w:rFonts w:ascii="Arial" w:hAnsi="Arial" w:eastAsia="宋体"/>
          <w:b w:val="0"/>
          <w:color w:val="000000"/>
          <w:sz w:val="21"/>
        </w:rPr>
        <w:t>19 相关并发症：优先识别眼痛畏光视力变化需眼科；非典型鼻部结节排肿瘤；继发感染、瘢痕及药物反应均要实际证据，风险不等已经发生。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病例特点：【真实病史，重点触发因素、眼症状、外用激素及既往光电操作；当次潮红、持续红斑、毛细血管扩张、丘疹脓疱和增生表型】</w:t>
        <w:br/>
        <w:t>初步诊断：【玫瑰痤疮及酒渣鼻表型的实际确定度】</w:t>
        <w:br/>
        <w:t>诊断依据：【实际2021正式指南诊断思路；皮肤镜可辅助，螨虫存在不独立确诊】</w:t>
        <w:br/>
        <w:t>鉴别诊断：【痤疮、脂溢性皮炎、接触性皮炎、狼疮及药物潮红的支持反对缺口】</w:t>
        <w:br/>
        <w:t>诊疗计划：【医师确认的温和清洁防晒屏障护理，表型匹配外用抗炎及必要检查监测；计划与执行分开】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潮红、持续红斑、毛细血管扩张、丘疹脓疱和增生表型的实见部分及黏膜全身】，检查【当时可知结果】。目前考虑【诊断及确定度】，实际治疗【真实执行】，本日重点观察【按表型及部位记录，不把注册2026版当正式分型规则】，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玫瑰痤疮及酒渣鼻表型当前活动及真实治疗执行、短期反应】，关注【眼痛畏光视力变化需眼科；非典型鼻部结节排肿瘤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2021正式指南诊断思路；皮肤镜可辅助，螨虫存在不独立确诊与形态对应、痤疮、脂溢性皮炎、接触性皮炎、狼疮及药物潮红的鉴别及按表型及部位记录，不把注册2026版当正式分型规则】，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玫瑰痤疮及酒渣鼻表型疑难证据及系统风险】，就【系统药按炎症程度和医师决定，不以单纯面红自动长期抗菌涉及的本例重大决策】提出【真实策略与条件】，长期重点【诱因回避个体化，红斑与丘疹及眼症状分别随访】，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按表型及部位记录，不把注册2026版当正式分型规则的真实变化及安全检查】，医师决定【实际药物或局部方案】由【原方案】调整为【新方案】，原因【证据】，当前处方及执行【分别状态】，监测【本例眼痛畏光视力变化需眼科；非典型鼻部结节排肿瘤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血管及增生性治疗依授权和参数记录，IPL非激光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眼痛畏光视力变化需眼科；非典型鼻部结节排肿瘤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诊疗经过：【2021正式指南诊断思路；皮肤镜可辅助，螨虫存在不独立确诊的实际结果、药物操作及转归】</w:t>
        <w:br/>
        <w:t>出院诊断：【确定度与版本】</w:t>
        <w:br/>
        <w:t>出院情况：【当次皮损黏膜全身实查】</w:t>
        <w:br/>
        <w:t>医嘱和未决事项：【诱因回避个体化，红斑与丘疹及眼症状分别随访中适用的确认方案及责任】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护理：【温和清洁防晒屏障护理，表型匹配外用抗炎中已确认部分】</w:t>
        <w:br/>
        <w:t>复诊及监测：【本例实际项目时点责任】</w:t>
        <w:br/>
        <w:t>警示：【眼痛畏光视力变化需眼科；非典型鼻部结节排肿瘤中需要患者识别的事项】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长期随访：诱因回避个体化，红斑与丘疹及眼症状分别随访。具体项目、复查频率和责任人来自已确认方案，不统一套固定周期。</w:t>
      </w:r>
    </w:p>
    <w:p>
      <w:pPr>
        <w:spacing w:after="100"/>
      </w:pPr>
      <w:r>
        <w:rPr>
          <w:rFonts w:ascii="Arial" w:hAnsi="Arial" w:eastAsia="宋体"/>
          <w:b w:val="0"/>
          <w:color w:val="000000"/>
          <w:sz w:val="21"/>
        </w:rPr>
        <w:t>31 最终质控：重点核对2021正式指南诊断思路；皮肤镜可辅助，螨虫存在不独立确诊及按表型及部位记录，不把注册2026版当正式分型规则；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119" w:name="b119"/>
      <w:pPr>
        <w:pStyle w:val="Heading2"/>
      </w:pPr>
      <w:r>
        <w:t>03 雄激素性脱发</w:t>
      </w:r>
      <w:bookmarkEnd w:id="119"/>
    </w:p>
    <w:p>
      <w:pPr>
        <w:spacing w:after="100"/>
      </w:pPr>
      <w:r>
        <w:rPr>
          <w:rFonts w:ascii="Arial" w:hAnsi="Arial" w:eastAsia="宋体"/>
          <w:b w:val="0"/>
          <w:color w:val="000000"/>
          <w:sz w:val="21"/>
        </w:rPr>
        <w:t>01 疾病定义：遗传易感相关的毛囊渐进微小化。该定义是专业知识，不能代替本例诊断。</w:t>
      </w:r>
    </w:p>
    <w:p>
      <w:pPr>
        <w:spacing w:after="100"/>
      </w:pPr>
      <w:r>
        <w:rPr>
          <w:rFonts w:ascii="Arial" w:hAnsi="Arial" w:eastAsia="宋体"/>
          <w:b w:val="0"/>
          <w:color w:val="000000"/>
          <w:sz w:val="21"/>
        </w:rPr>
        <w:t>02 病因及发病机制：围绕遗传易感相关的毛囊渐进微小化采集相关线索；患者病因只写已核证据，未证实时保留可能性。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临床表现：症状、全身受累及变化按实际病史与检查；重点核实进展、家族、产后疾病药物、月经及既往治疗。</w:t>
      </w:r>
    </w:p>
    <w:p>
      <w:pPr>
        <w:spacing w:after="100"/>
      </w:pPr>
      <w:r>
        <w:rPr>
          <w:rFonts w:ascii="Arial" w:hAnsi="Arial" w:eastAsia="宋体"/>
          <w:b w:val="0"/>
          <w:color w:val="000000"/>
          <w:sz w:val="21"/>
        </w:rPr>
        <w:t>04 典型皮损形态：额顶部或中缝稀疏，部位模式按性别年龄实查。典型性只用于鉴别，不自动添加到患者查体。</w:t>
      </w:r>
    </w:p>
    <w:p>
      <w:pPr>
        <w:spacing w:after="100"/>
      </w:pPr>
      <w:r>
        <w:rPr>
          <w:rFonts w:ascii="Arial" w:hAnsi="Arial" w:eastAsia="宋体"/>
          <w:b w:val="0"/>
          <w:color w:val="000000"/>
          <w:sz w:val="21"/>
        </w:rPr>
        <w:t>05 皮损部位及分布：逐病灶记录额顶部或中缝稀疏，部位模式按性别年龄实查涉及的实际部位侧别、数量排列对称和范围；不补“全身”。</w:t>
      </w:r>
    </w:p>
    <w:p>
      <w:pPr>
        <w:spacing w:after="100"/>
      </w:pPr>
      <w:r>
        <w:rPr>
          <w:rFonts w:ascii="Arial" w:hAnsi="Arial" w:eastAsia="宋体"/>
          <w:b w:val="0"/>
          <w:color w:val="000000"/>
          <w:sz w:val="21"/>
        </w:rPr>
        <w:t>06 病史采集重点：进展、家族、产后疾病药物、月经及既往治疗；保留发病与发现、首次与复发、用药计划与执行的差别。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专科检查：按03实查原发继发皮损、黏膜、毛发甲及必要触诊，围绕选定Hamilton Norwood或Ludwig等适用体系须真实变量记录而不强行检查无关项目。</w:t>
      </w:r>
    </w:p>
    <w:p>
      <w:pPr>
        <w:spacing w:after="100"/>
      </w:pPr>
      <w:r>
        <w:rPr>
          <w:rFonts w:ascii="Arial" w:hAnsi="Arial" w:eastAsia="宋体"/>
          <w:b w:val="0"/>
          <w:color w:val="000000"/>
          <w:sz w:val="21"/>
        </w:rPr>
        <w:t>08 实验室检查：毛发镜直径变异等需真图；必要时评缺铁甲状腺等，不默认雄激素升高；检查项目按问题选择，未做不写正常。</w:t>
      </w:r>
    </w:p>
    <w:p>
      <w:pPr>
        <w:spacing w:after="100"/>
      </w:pPr>
      <w:r>
        <w:rPr>
          <w:rFonts w:ascii="Arial" w:hAnsi="Arial" w:eastAsia="宋体"/>
          <w:b w:val="0"/>
          <w:color w:val="000000"/>
          <w:sz w:val="21"/>
        </w:rPr>
        <w:t>09 皮肤镜或其他辅助检查：围绕毛发镜直径变异等需真图；必要时评缺铁甲状腺等，不默认雄激素升高选择必要辅查；没有特定指征不常规添加皮肤镜，普通照不当镜图。</w:t>
      </w:r>
    </w:p>
    <w:p>
      <w:pPr>
        <w:spacing w:after="100"/>
      </w:pPr>
      <w:r>
        <w:rPr>
          <w:rFonts w:ascii="Arial" w:hAnsi="Arial" w:eastAsia="宋体"/>
          <w:b w:val="0"/>
          <w:color w:val="000000"/>
          <w:sz w:val="21"/>
        </w:rPr>
        <w:t>10 病理及免疫检查：毛发镜规范拍摄；植发不是常规出院操作。HE、DIF、IIF及抗体按实际诊断问题选择，非典型或疑难再评取材；无适应证不强制。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诊断标准：采用可核实的适用临床及专科体系，毛发镜直径变异等需真图；必要时评缺铁甲状腺等，不默认雄激素升高；未核全文的评分标准不得凭题录复造。</w:t>
      </w:r>
    </w:p>
    <w:p>
      <w:pPr>
        <w:spacing w:after="100"/>
      </w:pPr>
      <w:r>
        <w:rPr>
          <w:rFonts w:ascii="Arial" w:hAnsi="Arial" w:eastAsia="宋体"/>
          <w:b w:val="0"/>
          <w:color w:val="000000"/>
          <w:sz w:val="21"/>
        </w:rPr>
        <w:t>12 诊断依据：逐条将实际额顶部或中缝稀疏，部位模式按性别年龄实查与毛发镜直径变异等需真图；必要时评缺铁甲状腺等，不默认雄激素升高对应；写本例支持、反对及尚缺证据，保持疑似/初诊/确诊确定度。</w:t>
      </w:r>
    </w:p>
    <w:p>
      <w:pPr>
        <w:spacing w:after="100"/>
      </w:pPr>
      <w:r>
        <w:rPr>
          <w:rFonts w:ascii="Arial" w:hAnsi="Arial" w:eastAsia="宋体"/>
          <w:b w:val="0"/>
          <w:color w:val="000000"/>
          <w:sz w:val="21"/>
        </w:rPr>
        <w:t>13 鉴别诊断：休止期脱发、斑秃、瘢痕性脱发。每项基于本例支持、反对和下一步验证，不机械写全部排除。</w:t>
      </w:r>
    </w:p>
    <w:p>
      <w:pPr>
        <w:spacing w:after="100"/>
      </w:pPr>
      <w:r>
        <w:rPr>
          <w:rFonts w:ascii="Arial" w:hAnsi="Arial" w:eastAsia="宋体"/>
          <w:b w:val="0"/>
          <w:color w:val="000000"/>
          <w:sz w:val="21"/>
        </w:rPr>
        <w:t>14 分型分期及严重程度：选定Hamilton Norwood或Ludwig等适用体系须真实变量。评分需体系版本、分项、日期和评估者，缺变量不自动算。</w:t>
      </w:r>
    </w:p>
    <w:p>
      <w:pPr>
        <w:spacing w:after="100"/>
      </w:pPr>
      <w:r>
        <w:rPr>
          <w:rFonts w:ascii="Arial" w:hAnsi="Arial" w:eastAsia="宋体"/>
          <w:b w:val="0"/>
          <w:color w:val="000000"/>
          <w:sz w:val="21"/>
        </w:rPr>
        <w:t>15 危急病情识别：头皮疼痛炎症及毛囊口消失提示瘢痕过程。危险状态联合06，不等待文书齐全才处置。</w:t>
      </w:r>
    </w:p>
    <w:p>
      <w:pPr>
        <w:spacing w:after="100"/>
      </w:pPr>
      <w:r>
        <w:rPr>
          <w:rFonts w:ascii="Arial" w:hAnsi="Arial" w:eastAsia="宋体"/>
          <w:b w:val="0"/>
          <w:color w:val="000000"/>
          <w:sz w:val="21"/>
        </w:rPr>
        <w:t>16 外用治疗：外用米诺地尔等由医师按适应性确认。该项为决策知识，患者已用与否及用法必须真实。</w:t>
      </w:r>
    </w:p>
    <w:p>
      <w:pPr>
        <w:spacing w:after="100"/>
      </w:pPr>
      <w:r>
        <w:rPr>
          <w:rFonts w:ascii="Arial" w:hAnsi="Arial" w:eastAsia="宋体"/>
          <w:b w:val="0"/>
          <w:color w:val="000000"/>
          <w:sz w:val="21"/>
        </w:rPr>
        <w:t>17 系统治疗：系统药需核年龄性别妊娠批准及不良反应，不自动非那雄胺。不得自动填写剂量频次疗程或疗效，联合07核药物状态。</w:t>
      </w:r>
    </w:p>
    <w:p>
      <w:pPr>
        <w:spacing w:after="100"/>
      </w:pPr>
      <w:r>
        <w:rPr>
          <w:rFonts w:ascii="Arial" w:hAnsi="Arial" w:eastAsia="宋体"/>
          <w:b w:val="0"/>
          <w:color w:val="000000"/>
          <w:sz w:val="21"/>
        </w:rPr>
        <w:t>18 皮肤治疗操作：毛发镜规范拍摄；植发不是常规出院操作；操作前后按05，拟实施不得写已实施。</w:t>
      </w:r>
    </w:p>
    <w:p>
      <w:pPr>
        <w:spacing w:after="100"/>
      </w:pPr>
      <w:r>
        <w:rPr>
          <w:rFonts w:ascii="Arial" w:hAnsi="Arial" w:eastAsia="宋体"/>
          <w:b w:val="0"/>
          <w:color w:val="000000"/>
          <w:sz w:val="21"/>
        </w:rPr>
        <w:t>19 相关并发症：优先识别头皮疼痛炎症及毛囊口消失提示瘢痕过程；继发感染、瘢痕及药物反应均要实际证据，风险不等已经发生。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病例特点：【真实病史，重点进展、家族、产后疾病药物、月经及既往治疗；当次额顶部或中缝稀疏，部位模式按性别年龄实查】</w:t>
        <w:br/>
        <w:t>初步诊断：【雄激素性脱发的实际确定度】</w:t>
        <w:br/>
        <w:t>诊断依据：【实际毛发镜直径变异等需真图；必要时评缺铁甲状腺等，不默认雄激素升高】</w:t>
        <w:br/>
        <w:t>鉴别诊断：【休止期脱发、斑秃、瘢痕性脱发的支持反对缺口】</w:t>
        <w:br/>
        <w:t>诊疗计划：【医师确认的外用米诺地尔等由医师按适应性确认及必要检查监测；计划与执行分开】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额顶部或中缝稀疏，部位模式按性别年龄实查的实见部分及黏膜全身】，检查【当时可知结果】。目前考虑【诊断及确定度】，实际治疗【真实执行】，本日重点观察【选定Hamilton Norwood或Ludwig等适用体系须真实变量】，拟【下一步确认方案】。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雄激素性脱发当前活动及真实治疗执行、短期反应】，关注【头皮疼痛炎症及毛囊口消失提示瘢痕过程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毛发镜直径变异等需真图；必要时评缺铁甲状腺等，不默认雄激素升高与形态对应、休止期脱发、斑秃、瘢痕性脱发的鉴别及选定Hamilton Norwood或Ludwig等适用体系须真实变量】，对【治疗调整获益风险】提出【真实意见】，目前执行【实情】。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雄激素性脱发疑难证据及系统风险】，就【系统药需核年龄性别妊娠批准及不良反应，不自动非那雄胺涉及的本例重大决策】提出【真实策略与条件】，长期重点【同光照部位及间隔比较，不能承诺短期生发】，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基于【选定Hamilton Norwood或Ludwig等适用体系须真实变量的真实变化及安全检查】，医师决定【实际药物或局部方案】由【原方案】调整为【新方案】，原因【证据】，当前处方及执行【分别状态】，监测【本例头皮疼痛炎症及毛囊口消失提示瘢痕过程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毛发镜规范拍摄；植发不是常规出院操作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头皮疼痛炎症及毛囊口消失提示瘢痕过程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诊疗经过：【毛发镜直径变异等需真图；必要时评缺铁甲状腺等，不默认雄激素升高的实际结果、药物操作及转归】</w:t>
        <w:br/>
        <w:t>出院诊断：【确定度与版本】</w:t>
        <w:br/>
        <w:t>出院情况：【当次皮损黏膜全身实查】</w:t>
        <w:br/>
        <w:t>医嘱和未决事项：【同光照部位及间隔比较，不能承诺短期生发中适用的确认方案及责任】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护理：【外用米诺地尔等由医师按适应性确认中已确认部分】</w:t>
        <w:br/>
        <w:t>复诊及监测：【本例实际项目时点责任】</w:t>
        <w:br/>
        <w:t>警示：【头皮疼痛炎症及毛囊口消失提示瘢痕过程中需要患者识别的事项】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长期随访：同光照部位及间隔比较，不能承诺短期生发。具体项目、复查频率和责任人来自已确认方案，不统一套固定周期。</w:t>
      </w:r>
    </w:p>
    <w:p>
      <w:pPr>
        <w:spacing w:after="100"/>
      </w:pPr>
      <w:r>
        <w:rPr>
          <w:rFonts w:ascii="Arial" w:hAnsi="Arial" w:eastAsia="宋体"/>
          <w:b w:val="0"/>
          <w:color w:val="000000"/>
          <w:sz w:val="21"/>
        </w:rPr>
        <w:t>31 最终质控：重点核对毛发镜直径变异等需真图；必要时评缺铁甲状腺等，不默认雄激素升高及选定Hamilton Norwood或Ludwig等适用体系须真实变量；防止将典型表现当事实、风险当并发症、拟治疗当执行。查房层级与真实意见及代码框经10终审。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162" w:name="b162"/>
      <w:pPr>
        <w:pStyle w:val="Heading2"/>
      </w:pPr>
      <w:r>
        <w:t>04 斑秃</w:t>
      </w:r>
      <w:bookmarkEnd w:id="162"/>
    </w:p>
    <w:p>
      <w:pPr>
        <w:spacing w:after="100"/>
      </w:pPr>
      <w:r>
        <w:rPr>
          <w:rFonts w:ascii="Arial" w:hAnsi="Arial" w:eastAsia="宋体"/>
          <w:b w:val="0"/>
          <w:color w:val="000000"/>
          <w:sz w:val="21"/>
        </w:rPr>
        <w:t>01 疾病定义：免疫相关的非瘢痕性脱发。该定义是专业知识，不能代替本例诊断。</w:t>
      </w:r>
    </w:p>
    <w:p>
      <w:pPr>
        <w:spacing w:after="100"/>
      </w:pPr>
      <w:r>
        <w:rPr>
          <w:rFonts w:ascii="Arial" w:hAnsi="Arial" w:eastAsia="宋体"/>
          <w:b w:val="0"/>
          <w:color w:val="000000"/>
          <w:sz w:val="21"/>
        </w:rPr>
        <w:t>02 病因及发病机制：围绕免疫相关的非瘢痕性脱发采集相关线索；患者病因只写已核证据，未证实时保留可能性。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临床表现：症状、全身受累及变化按实际病史与检查；重点核实起病复发、其他毛发、特应性及自身免疫病史。</w:t>
      </w:r>
    </w:p>
    <w:p>
      <w:pPr>
        <w:spacing w:after="100"/>
      </w:pPr>
      <w:r>
        <w:rPr>
          <w:rFonts w:ascii="Arial" w:hAnsi="Arial" w:eastAsia="宋体"/>
          <w:b w:val="0"/>
          <w:color w:val="000000"/>
          <w:sz w:val="21"/>
        </w:rPr>
        <w:t>04 典型皮损形态：边界清楚脱发斑，毛囊口、断发及甲改变按实查。典型性只用于鉴别，不自动添加到患者查体。</w:t>
      </w:r>
    </w:p>
    <w:p>
      <w:pPr>
        <w:spacing w:after="100"/>
      </w:pPr>
      <w:r>
        <w:rPr>
          <w:rFonts w:ascii="Arial" w:hAnsi="Arial" w:eastAsia="宋体"/>
          <w:b w:val="0"/>
          <w:color w:val="000000"/>
          <w:sz w:val="21"/>
        </w:rPr>
        <w:t>05 皮损部位及分布：逐病灶记录边界清楚脱发斑，毛囊口、断发及甲改变按实查涉及的实际部位侧别、数量排列对称和范围；不补“全身”。</w:t>
      </w:r>
    </w:p>
    <w:p>
      <w:pPr>
        <w:spacing w:after="100"/>
      </w:pPr>
      <w:r>
        <w:rPr>
          <w:rFonts w:ascii="Arial" w:hAnsi="Arial" w:eastAsia="宋体"/>
          <w:b w:val="0"/>
          <w:color w:val="000000"/>
          <w:sz w:val="21"/>
        </w:rPr>
        <w:t>06 病史采集重点：起病复发、其他毛发、特应性及自身免疫病史；保留发病与发现、首次与复发、用药计划与执行的差别。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专科检查：按03实查原发继发皮损、黏膜、毛发甲及必要触诊，围绕斑片、全秃、普秃及活动度，范围不由单照精算记录而不强行检查无关项目。</w:t>
      </w:r>
    </w:p>
    <w:p>
      <w:pPr>
        <w:spacing w:after="100"/>
      </w:pPr>
      <w:r>
        <w:rPr>
          <w:rFonts w:ascii="Arial" w:hAnsi="Arial" w:eastAsia="宋体"/>
          <w:b w:val="0"/>
          <w:color w:val="000000"/>
          <w:sz w:val="21"/>
        </w:rPr>
        <w:t>08 实验室检查：毛发镜可见提示性征；SALT须范围实测，病理仅疑难；检查项目按问题选择，未做不写正常。</w:t>
      </w:r>
    </w:p>
    <w:p>
      <w:pPr>
        <w:spacing w:after="100"/>
      </w:pPr>
      <w:r>
        <w:rPr>
          <w:rFonts w:ascii="Arial" w:hAnsi="Arial" w:eastAsia="宋体"/>
          <w:b w:val="0"/>
          <w:color w:val="000000"/>
          <w:sz w:val="21"/>
        </w:rPr>
        <w:t>09 皮肤镜或其他辅助检查：围绕毛发镜可见提示性征；SALT须范围实测，病理仅疑难选择必要辅查；没有特定指征不常规添加皮肤镜，普通照不当镜图。</w:t>
      </w:r>
    </w:p>
    <w:p>
      <w:pPr>
        <w:spacing w:after="100"/>
      </w:pPr>
      <w:r>
        <w:rPr>
          <w:rFonts w:ascii="Arial" w:hAnsi="Arial" w:eastAsia="宋体"/>
          <w:b w:val="0"/>
          <w:color w:val="000000"/>
          <w:sz w:val="21"/>
        </w:rPr>
        <w:t>10 病理及免疫检查：皮损内注射需浓度总量部位记录，缺参数不写已完成。HE、DIF、IIF及抗体按实际诊断问题选择，非典型或疑难再评取材；无适应证不强制。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诊断标准：采用可核实的适用临床及专科体系，毛发镜可见提示性征；SALT须范围实测，病理仅疑难；未核全文的评分标准不得凭题录复造。</w:t>
      </w:r>
    </w:p>
    <w:p>
      <w:pPr>
        <w:spacing w:after="100"/>
      </w:pPr>
      <w:r>
        <w:rPr>
          <w:rFonts w:ascii="Arial" w:hAnsi="Arial" w:eastAsia="宋体"/>
          <w:b w:val="0"/>
          <w:color w:val="000000"/>
          <w:sz w:val="21"/>
        </w:rPr>
        <w:t>12 诊断依据：逐条将实际边界清楚脱发斑，毛囊口、断发及甲改变按实查与毛发镜可见提示性征；SALT须范围实测，病理仅疑难对应；写本例支持、反对及尚缺证据，保持疑似/初诊/确诊确定度。</w:t>
      </w:r>
    </w:p>
    <w:p>
      <w:pPr>
        <w:spacing w:after="100"/>
      </w:pPr>
      <w:r>
        <w:rPr>
          <w:rFonts w:ascii="Arial" w:hAnsi="Arial" w:eastAsia="宋体"/>
          <w:b w:val="0"/>
          <w:color w:val="000000"/>
          <w:sz w:val="21"/>
        </w:rPr>
        <w:t>13 鉴别诊断：头癣、拔毛癖、休止期及瘢痕性脱发。每项基于本例支持、反对和下一步验证，不机械写全部排除。</w:t>
      </w:r>
    </w:p>
    <w:p>
      <w:pPr>
        <w:spacing w:after="100"/>
      </w:pPr>
      <w:r>
        <w:rPr>
          <w:rFonts w:ascii="Arial" w:hAnsi="Arial" w:eastAsia="宋体"/>
          <w:b w:val="0"/>
          <w:color w:val="000000"/>
          <w:sz w:val="21"/>
        </w:rPr>
        <w:t>14 分型分期及严重程度：斑片、全秃、普秃及活动度，范围不由单照精算。评分需体系版本、分项、日期和评估者，缺变量不自动算。</w:t>
      </w:r>
    </w:p>
    <w:p>
      <w:pPr>
        <w:spacing w:after="100"/>
      </w:pPr>
      <w:r>
        <w:rPr>
          <w:rFonts w:ascii="Arial" w:hAnsi="Arial" w:eastAsia="宋体"/>
          <w:b w:val="0"/>
          <w:color w:val="000000"/>
          <w:sz w:val="21"/>
        </w:rPr>
        <w:t>15 危急病情识别：迅速广泛进展及显著心理负担。危险状态联合06，不等待文书齐全才处置。</w:t>
      </w:r>
    </w:p>
    <w:p>
      <w:pPr>
        <w:spacing w:after="100"/>
      </w:pPr>
      <w:r>
        <w:rPr>
          <w:rFonts w:ascii="Arial" w:hAnsi="Arial" w:eastAsia="宋体"/>
          <w:b w:val="0"/>
          <w:color w:val="000000"/>
          <w:sz w:val="21"/>
        </w:rPr>
        <w:t>16 外用治疗：局部激素或其他方案按部位年龄确定。该项为决策知识，患者已用与否及用法必须真实。</w:t>
      </w:r>
    </w:p>
    <w:p>
      <w:pPr>
        <w:spacing w:after="100"/>
      </w:pPr>
      <w:r>
        <w:rPr>
          <w:rFonts w:ascii="Arial" w:hAnsi="Arial" w:eastAsia="宋体"/>
          <w:b w:val="0"/>
          <w:color w:val="000000"/>
          <w:sz w:val="21"/>
        </w:rPr>
        <w:t>17 系统治疗：广泛难治时靶向系统治疗核批准范围及风险；不从外观自动JAK。不得自动填写剂量频次疗程或疗效，联合07核药物状态。</w:t>
      </w:r>
    </w:p>
    <w:p>
      <w:pPr>
        <w:spacing w:after="100"/>
      </w:pPr>
      <w:r>
        <w:rPr>
          <w:rFonts w:ascii="Arial" w:hAnsi="Arial" w:eastAsia="宋体"/>
          <w:b w:val="0"/>
          <w:color w:val="000000"/>
          <w:sz w:val="21"/>
        </w:rPr>
        <w:t>18 皮肤治疗操作：皮损内注射需浓度总量部位记录，缺参数不写已完成；操作前后按05，拟实施不得写已实施。</w:t>
      </w:r>
    </w:p>
    <w:p>
      <w:pPr>
        <w:spacing w:after="100"/>
      </w:pPr>
      <w:r>
        <w:rPr>
          <w:rFonts w:ascii="Arial" w:hAnsi="Arial" w:eastAsia="宋体"/>
          <w:b w:val="0"/>
          <w:color w:val="000000"/>
          <w:sz w:val="21"/>
        </w:rPr>
        <w:t>19 相关并发症：优先识别迅速广泛进展及显著心理负担；继发感染、瘢痕及药物反应均要实际证据，风险不等已经发生。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病例特点：【真实病史，重点起病复发、其他毛发、特应性及自身免疫病史；当次边界清楚脱发斑，毛囊口、断发及甲改变按实查】</w:t>
        <w:br/>
        <w:t>初步诊断：【斑秃的实际确定度】</w:t>
        <w:br/>
        <w:t>诊断依据：【实际毛发镜可见提示性征；SALT须范围实测，病理仅疑难】</w:t>
        <w:br/>
        <w:t>鉴别诊断：【头癣、拔毛癖、休止期及瘢痕性脱发的支持反对缺口】</w:t>
        <w:br/>
        <w:t>诊疗计划：【医师确认的局部激素或其他方案按部位年龄确定及必要检查监测；计划与执行分开】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边界清楚脱发斑，毛囊口、断发及甲改变按实查的实见部分及黏膜全身】，检查【当时可知结果】。目前考虑【诊断及确定度】，实际治疗【真实执行】，本日重点观察【斑片、全秃、普秃及活动度，范围不由单照精算】，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斑秃当前活动及真实治疗执行、短期反应】，关注【迅速广泛进展及显著心理负担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毛发镜可见提示性征；SALT须范围实测，病理仅疑难与形态对应、头癣、拔毛癖、休止期及瘢痕性脱发的鉴别及斑片、全秃、普秃及活动度，范围不由单照精算】，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斑秃疑难证据及系统风险】，就【广泛难治时靶向系统治疗核批准范围及风险；不从外观自动JAK涉及的本例重大决策】提出【真实策略与条件】，长期重点【同方法观察面积和再生，复发与不良反应并行】，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斑片、全秃、普秃及活动度，范围不由单照精算的真实变化及安全检查】，医师决定【实际药物或局部方案】由【原方案】调整为【新方案】，原因【证据】，当前处方及执行【分别状态】，监测【本例迅速广泛进展及显著心理负担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皮损内注射需浓度总量部位记录，缺参数不写已完成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迅速广泛进展及显著心理负担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诊疗经过：【毛发镜可见提示性征；SALT须范围实测，病理仅疑难的实际结果、药物操作及转归】</w:t>
        <w:br/>
        <w:t>出院诊断：【确定度与版本】</w:t>
        <w:br/>
        <w:t>出院情况：【当次皮损黏膜全身实查】</w:t>
        <w:br/>
        <w:t>医嘱和未决事项：【同方法观察面积和再生，复发与不良反应并行中适用的确认方案及责任】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护理：【局部激素或其他方案按部位年龄确定中已确认部分】</w:t>
        <w:br/>
        <w:t>复诊及监测：【本例实际项目时点责任】</w:t>
        <w:br/>
        <w:t>警示：【迅速广泛进展及显著心理负担中需要患者识别的事项】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长期随访：同方法观察面积和再生，复发与不良反应并行。具体项目、复查频率和责任人来自已确认方案，不统一套固定周期。</w:t>
      </w:r>
    </w:p>
    <w:p>
      <w:pPr>
        <w:spacing w:after="100"/>
      </w:pPr>
      <w:r>
        <w:rPr>
          <w:rFonts w:ascii="Arial" w:hAnsi="Arial" w:eastAsia="宋体"/>
          <w:b w:val="0"/>
          <w:color w:val="000000"/>
          <w:sz w:val="21"/>
        </w:rPr>
        <w:t>31 最终质控：重点核对毛发镜可见提示性征；SALT须范围实测，病理仅疑难及斑片、全秃、普秃及活动度，范围不由单照精算；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205" w:name="b205"/>
      <w:pPr>
        <w:pStyle w:val="Heading2"/>
      </w:pPr>
      <w:r>
        <w:t>05 休止期脱发及其他弥漫脱发</w:t>
      </w:r>
      <w:bookmarkEnd w:id="205"/>
    </w:p>
    <w:p>
      <w:pPr>
        <w:spacing w:after="100"/>
      </w:pPr>
      <w:r>
        <w:rPr>
          <w:rFonts w:ascii="Arial" w:hAnsi="Arial" w:eastAsia="宋体"/>
          <w:b w:val="0"/>
          <w:color w:val="000000"/>
          <w:sz w:val="21"/>
        </w:rPr>
        <w:t>01 疾病定义：毛周期转换导致弥漫脱落，病因需追查。该定义是专业知识，不能代替本例诊断。</w:t>
      </w:r>
    </w:p>
    <w:p>
      <w:pPr>
        <w:spacing w:after="100"/>
      </w:pPr>
      <w:r>
        <w:rPr>
          <w:rFonts w:ascii="Arial" w:hAnsi="Arial" w:eastAsia="宋体"/>
          <w:b w:val="0"/>
          <w:color w:val="000000"/>
          <w:sz w:val="21"/>
        </w:rPr>
        <w:t>02 病因及发病机制：围绕毛周期转换导致弥漫脱落，病因需追查采集相关线索；患者病因只写已核证据，未证实时保留可能性。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临床表现：症状、全身受累及变化按实际病史与检查；重点核实发热手术减重分娩药物及其与脱发间隔。</w:t>
      </w:r>
    </w:p>
    <w:p>
      <w:pPr>
        <w:spacing w:after="100"/>
      </w:pPr>
      <w:r>
        <w:rPr>
          <w:rFonts w:ascii="Arial" w:hAnsi="Arial" w:eastAsia="宋体"/>
          <w:b w:val="0"/>
          <w:color w:val="000000"/>
          <w:sz w:val="21"/>
        </w:rPr>
        <w:t>04 典型皮损形态：弥漫密度变化及拉发试验须实际实施。典型性只用于鉴别，不自动添加到患者查体。</w:t>
      </w:r>
    </w:p>
    <w:p>
      <w:pPr>
        <w:spacing w:after="100"/>
      </w:pPr>
      <w:r>
        <w:rPr>
          <w:rFonts w:ascii="Arial" w:hAnsi="Arial" w:eastAsia="宋体"/>
          <w:b w:val="0"/>
          <w:color w:val="000000"/>
          <w:sz w:val="21"/>
        </w:rPr>
        <w:t>05 皮损部位及分布：逐病灶记录弥漫密度变化及拉发试验须实际实施涉及的实际部位侧别、数量排列对称和范围；不补“全身”。</w:t>
      </w:r>
    </w:p>
    <w:p>
      <w:pPr>
        <w:spacing w:after="100"/>
      </w:pPr>
      <w:r>
        <w:rPr>
          <w:rFonts w:ascii="Arial" w:hAnsi="Arial" w:eastAsia="宋体"/>
          <w:b w:val="0"/>
          <w:color w:val="000000"/>
          <w:sz w:val="21"/>
        </w:rPr>
        <w:t>06 病史采集重点：发热手术减重分娩药物及其与脱发间隔；保留发病与发现、首次与复发、用药计划与执行的差别。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专科检查：按03实查原发继发皮损、黏膜、毛发甲及必要触诊，围绕急慢性、诱因和并存AGA分别记录记录而不强行检查无关项目。</w:t>
      </w:r>
    </w:p>
    <w:p>
      <w:pPr>
        <w:spacing w:after="100"/>
      </w:pPr>
      <w:r>
        <w:rPr>
          <w:rFonts w:ascii="Arial" w:hAnsi="Arial" w:eastAsia="宋体"/>
          <w:b w:val="0"/>
          <w:color w:val="000000"/>
          <w:sz w:val="21"/>
        </w:rPr>
        <w:t>08 实验室检查：按提示查血常规铁代谢甲功，毛发镜及拉发结果标时间；检查项目按问题选择，未做不写正常。</w:t>
      </w:r>
    </w:p>
    <w:p>
      <w:pPr>
        <w:spacing w:after="100"/>
      </w:pPr>
      <w:r>
        <w:rPr>
          <w:rFonts w:ascii="Arial" w:hAnsi="Arial" w:eastAsia="宋体"/>
          <w:b w:val="0"/>
          <w:color w:val="000000"/>
          <w:sz w:val="21"/>
        </w:rPr>
        <w:t>09 皮肤镜或其他辅助检查：围绕按提示查血常规铁代谢甲功，毛发镜及拉发结果标时间选择必要辅查；没有特定指征不常规添加皮肤镜，普通照不当镜图。</w:t>
      </w:r>
    </w:p>
    <w:p>
      <w:pPr>
        <w:spacing w:after="100"/>
      </w:pPr>
      <w:r>
        <w:rPr>
          <w:rFonts w:ascii="Arial" w:hAnsi="Arial" w:eastAsia="宋体"/>
          <w:b w:val="0"/>
          <w:color w:val="000000"/>
          <w:sz w:val="21"/>
        </w:rPr>
        <w:t>10 病理及免疫检查：一般不需手术，疑难时活检。HE、DIF、IIF及抗体按实际诊断问题选择，非典型或疑难再评取材；无适应证不强制。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诊断标准：采用可核实的适用临床及专科体系，按提示查血常规铁代谢甲功，毛发镜及拉发结果标时间；未核全文的评分标准不得凭题录复造。</w:t>
      </w:r>
    </w:p>
    <w:p>
      <w:pPr>
        <w:spacing w:after="100"/>
      </w:pPr>
      <w:r>
        <w:rPr>
          <w:rFonts w:ascii="Arial" w:hAnsi="Arial" w:eastAsia="宋体"/>
          <w:b w:val="0"/>
          <w:color w:val="000000"/>
          <w:sz w:val="21"/>
        </w:rPr>
        <w:t>12 诊断依据：逐条将实际弥漫密度变化及拉发试验须实际实施与按提示查血常规铁代谢甲功，毛发镜及拉发结果标时间对应；写本例支持、反对及尚缺证据，保持疑似/初诊/确诊确定度。</w:t>
      </w:r>
    </w:p>
    <w:p>
      <w:pPr>
        <w:spacing w:after="100"/>
      </w:pPr>
      <w:r>
        <w:rPr>
          <w:rFonts w:ascii="Arial" w:hAnsi="Arial" w:eastAsia="宋体"/>
          <w:b w:val="0"/>
          <w:color w:val="000000"/>
          <w:sz w:val="21"/>
        </w:rPr>
        <w:t>13 鉴别诊断：AGA、弥漫斑秃、营养或内分泌问题。每项基于本例支持、反对和下一步验证，不机械写全部排除。</w:t>
      </w:r>
    </w:p>
    <w:p>
      <w:pPr>
        <w:spacing w:after="100"/>
      </w:pPr>
      <w:r>
        <w:rPr>
          <w:rFonts w:ascii="Arial" w:hAnsi="Arial" w:eastAsia="宋体"/>
          <w:b w:val="0"/>
          <w:color w:val="000000"/>
          <w:sz w:val="21"/>
        </w:rPr>
        <w:t>14 分型分期及严重程度：急慢性、诱因和并存AGA分别记录。评分需体系版本、分项、日期和评估者，缺变量不自动算。</w:t>
      </w:r>
    </w:p>
    <w:p>
      <w:pPr>
        <w:spacing w:after="100"/>
      </w:pPr>
      <w:r>
        <w:rPr>
          <w:rFonts w:ascii="Arial" w:hAnsi="Arial" w:eastAsia="宋体"/>
          <w:b w:val="0"/>
          <w:color w:val="000000"/>
          <w:sz w:val="21"/>
        </w:rPr>
        <w:t>15 危急病情识别：系统症状、营养问题及快速异常进展。危险状态联合06，不等待文书齐全才处置。</w:t>
      </w:r>
    </w:p>
    <w:p>
      <w:pPr>
        <w:spacing w:after="100"/>
      </w:pPr>
      <w:r>
        <w:rPr>
          <w:rFonts w:ascii="Arial" w:hAnsi="Arial" w:eastAsia="宋体"/>
          <w:b w:val="0"/>
          <w:color w:val="000000"/>
          <w:sz w:val="21"/>
        </w:rPr>
        <w:t>16 外用治疗：头皮护理，外用治疗须适应证。该项为决策知识，患者已用与否及用法必须真实。</w:t>
      </w:r>
    </w:p>
    <w:p>
      <w:pPr>
        <w:spacing w:after="100"/>
      </w:pPr>
      <w:r>
        <w:rPr>
          <w:rFonts w:ascii="Arial" w:hAnsi="Arial" w:eastAsia="宋体"/>
          <w:b w:val="0"/>
          <w:color w:val="000000"/>
          <w:sz w:val="21"/>
        </w:rPr>
        <w:t>17 系统治疗：针对明确基础病；不把补充剂常规写成缺乏治疗。不得自动填写剂量频次疗程或疗效，联合07核药物状态。</w:t>
      </w:r>
    </w:p>
    <w:p>
      <w:pPr>
        <w:spacing w:after="100"/>
      </w:pPr>
      <w:r>
        <w:rPr>
          <w:rFonts w:ascii="Arial" w:hAnsi="Arial" w:eastAsia="宋体"/>
          <w:b w:val="0"/>
          <w:color w:val="000000"/>
          <w:sz w:val="21"/>
        </w:rPr>
        <w:t>18 皮肤治疗操作：一般不需手术，疑难时活检；操作前后按05，拟实施不得写已实施。</w:t>
      </w:r>
    </w:p>
    <w:p>
      <w:pPr>
        <w:spacing w:after="100"/>
      </w:pPr>
      <w:r>
        <w:rPr>
          <w:rFonts w:ascii="Arial" w:hAnsi="Arial" w:eastAsia="宋体"/>
          <w:b w:val="0"/>
          <w:color w:val="000000"/>
          <w:sz w:val="21"/>
        </w:rPr>
        <w:t>19 相关并发症：优先识别系统症状、营养问题及快速异常进展；继发感染、瘢痕及药物反应均要实际证据，风险不等已经发生。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病例特点：【真实病史，重点发热手术减重分娩药物及其与脱发间隔；当次弥漫密度变化及拉发试验须实际实施】</w:t>
        <w:br/>
        <w:t>初步诊断：【休止期脱发及其他弥漫脱发的实际确定度】</w:t>
        <w:br/>
        <w:t>诊断依据：【实际按提示查血常规铁代谢甲功，毛发镜及拉发结果标时间】</w:t>
        <w:br/>
        <w:t>鉴别诊断：【AGA、弥漫斑秃、营养或内分泌问题的支持反对缺口】</w:t>
        <w:br/>
        <w:t>诊疗计划：【医师确认的头皮护理，外用治疗须适应证及必要检查监测；计划与执行分开】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弥漫密度变化及拉发试验须实际实施的实见部分及黏膜全身】，检查【当时可知结果】。目前考虑【诊断及确定度】，实际治疗【真实执行】，本日重点观察【急慢性、诱因和并存AGA分别记录】，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休止期脱发及其他弥漫脱发当前活动及真实治疗执行、短期反应】，关注【系统症状、营养问题及快速异常进展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按提示查血常规铁代谢甲功，毛发镜及拉发结果标时间与形态对应、AGA、弥漫斑秃、营养或内分泌问题的鉴别及急慢性、诱因和并存AGA分别记录】，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休止期脱发及其他弥漫脱发疑难证据及系统风险】，就【针对明确基础病；不把补充剂常规写成缺乏治疗涉及的本例重大决策】提出【真实策略与条件】，长期重点【脱落减少与密度恢复不同，按真实变化记录】，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急慢性、诱因和并存AGA分别记录的真实变化及安全检查】，医师决定【实际药物或局部方案】由【原方案】调整为【新方案】，原因【证据】，当前处方及执行【分别状态】，监测【本例系统症状、营养问题及快速异常进展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一般不需手术，疑难时活检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系统症状、营养问题及快速异常进展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诊疗经过：【按提示查血常规铁代谢甲功，毛发镜及拉发结果标时间的实际结果、药物操作及转归】</w:t>
        <w:br/>
        <w:t>出院诊断：【确定度与版本】</w:t>
        <w:br/>
        <w:t>出院情况：【当次皮损黏膜全身实查】</w:t>
        <w:br/>
        <w:t>医嘱和未决事项：【脱落减少与密度恢复不同，按真实变化记录中适用的确认方案及责任】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护理：【头皮护理，外用治疗须适应证中已确认部分】</w:t>
        <w:br/>
        <w:t>复诊及监测：【本例实际项目时点责任】</w:t>
        <w:br/>
        <w:t>警示：【系统症状、营养问题及快速异常进展中需要患者识别的事项】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长期随访：脱落减少与密度恢复不同，按真实变化记录。具体项目、复查频率和责任人来自已确认方案，不统一套固定周期。</w:t>
      </w:r>
    </w:p>
    <w:p>
      <w:pPr>
        <w:spacing w:after="100"/>
      </w:pPr>
      <w:r>
        <w:rPr>
          <w:rFonts w:ascii="Arial" w:hAnsi="Arial" w:eastAsia="宋体"/>
          <w:b w:val="0"/>
          <w:color w:val="000000"/>
          <w:sz w:val="21"/>
        </w:rPr>
        <w:t>31 最终质控：重点核对按提示查血常规铁代谢甲功，毛发镜及拉发结果标时间及急慢性、诱因和并存AGA分别记录；防止将典型表现当事实、风险当并发症、拟治疗当执行。查房层级与真实意见及代码框经10终审。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248" w:name="b248"/>
      <w:pPr>
        <w:pStyle w:val="Heading2"/>
      </w:pPr>
      <w:r>
        <w:t>06 瘢痕性脱发</w:t>
      </w:r>
      <w:bookmarkEnd w:id="248"/>
    </w:p>
    <w:p>
      <w:pPr>
        <w:spacing w:after="100"/>
      </w:pPr>
      <w:r>
        <w:rPr>
          <w:rFonts w:ascii="Arial" w:hAnsi="Arial" w:eastAsia="宋体"/>
          <w:b w:val="0"/>
          <w:color w:val="000000"/>
          <w:sz w:val="21"/>
        </w:rPr>
        <w:t>01 疾病定义：毛囊破坏并瘢痕替代的疾病谱系。该定义是专业知识，不能代替本例诊断。</w:t>
      </w:r>
    </w:p>
    <w:p>
      <w:pPr>
        <w:spacing w:after="100"/>
      </w:pPr>
      <w:r>
        <w:rPr>
          <w:rFonts w:ascii="Arial" w:hAnsi="Arial" w:eastAsia="宋体"/>
          <w:b w:val="0"/>
          <w:color w:val="000000"/>
          <w:sz w:val="21"/>
        </w:rPr>
        <w:t>02 病因及发病机制：围绕毛囊破坏并瘢痕替代的疾病谱系采集相关线索；患者病因只写已核证据，未证实时保留可能性。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临床表现：症状、全身受累及变化按实际病史与检查；重点核实疼痛灼热、进展边界、免疫与感染史。</w:t>
      </w:r>
    </w:p>
    <w:p>
      <w:pPr>
        <w:spacing w:after="100"/>
      </w:pPr>
      <w:r>
        <w:rPr>
          <w:rFonts w:ascii="Arial" w:hAnsi="Arial" w:eastAsia="宋体"/>
          <w:b w:val="0"/>
          <w:color w:val="000000"/>
          <w:sz w:val="21"/>
        </w:rPr>
        <w:t>04 典型皮损形态：毛囊口消失、周围红斑鳞屑或脓疱等需实查。典型性只用于鉴别，不自动添加到患者查体。</w:t>
      </w:r>
    </w:p>
    <w:p>
      <w:pPr>
        <w:spacing w:after="100"/>
      </w:pPr>
      <w:r>
        <w:rPr>
          <w:rFonts w:ascii="Arial" w:hAnsi="Arial" w:eastAsia="宋体"/>
          <w:b w:val="0"/>
          <w:color w:val="000000"/>
          <w:sz w:val="21"/>
        </w:rPr>
        <w:t>05 皮损部位及分布：逐病灶记录毛囊口消失、周围红斑鳞屑或脓疱等需实查涉及的实际部位侧别、数量排列对称和范围；不补“全身”。</w:t>
      </w:r>
    </w:p>
    <w:p>
      <w:pPr>
        <w:spacing w:after="100"/>
      </w:pPr>
      <w:r>
        <w:rPr>
          <w:rFonts w:ascii="Arial" w:hAnsi="Arial" w:eastAsia="宋体"/>
          <w:b w:val="0"/>
          <w:color w:val="000000"/>
          <w:sz w:val="21"/>
        </w:rPr>
        <w:t>06 病史采集重点：疼痛灼热、进展边界、免疫与感染史；保留发病与发现、首次与复发、用药计划与执行的差别。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专科检查：按03实查原发继发皮损、黏膜、毛发甲及必要触诊，围绕活动炎症与固定瘢痕区分，亚型未明不硬诊记录而不强行检查无关项目。</w:t>
      </w:r>
    </w:p>
    <w:p>
      <w:pPr>
        <w:spacing w:after="100"/>
      </w:pPr>
      <w:r>
        <w:rPr>
          <w:rFonts w:ascii="Arial" w:hAnsi="Arial" w:eastAsia="宋体"/>
          <w:b w:val="0"/>
          <w:color w:val="000000"/>
          <w:sz w:val="21"/>
        </w:rPr>
        <w:t>08 实验室检查：毛发镜和活动边缘适宜取材；病理亚型决定分类；检查项目按问题选择，未做不写正常。</w:t>
      </w:r>
    </w:p>
    <w:p>
      <w:pPr>
        <w:spacing w:after="100"/>
      </w:pPr>
      <w:r>
        <w:rPr>
          <w:rFonts w:ascii="Arial" w:hAnsi="Arial" w:eastAsia="宋体"/>
          <w:b w:val="0"/>
          <w:color w:val="000000"/>
          <w:sz w:val="21"/>
        </w:rPr>
        <w:t>09 皮肤镜或其他辅助检查：围绕毛发镜和活动边缘适宜取材；病理亚型决定分类选择必要辅查；没有特定指征不常规添加皮肤镜，普通照不当镜图。</w:t>
      </w:r>
    </w:p>
    <w:p>
      <w:pPr>
        <w:spacing w:after="100"/>
      </w:pPr>
      <w:r>
        <w:rPr>
          <w:rFonts w:ascii="Arial" w:hAnsi="Arial" w:eastAsia="宋体"/>
          <w:b w:val="0"/>
          <w:color w:val="000000"/>
          <w:sz w:val="21"/>
        </w:rPr>
        <w:t>10 病理及免疫检查：活检部位取向和多标本要求与病理科确认，未控制活动不自动植发。HE、DIF、IIF及抗体按实际诊断问题选择，非典型或疑难再评取材；无适应证不强制。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诊断标准：采用可核实的适用临床及专科体系，毛发镜和活动边缘适宜取材；病理亚型决定分类；未核全文的评分标准不得凭题录复造。</w:t>
      </w:r>
    </w:p>
    <w:p>
      <w:pPr>
        <w:spacing w:after="100"/>
      </w:pPr>
      <w:r>
        <w:rPr>
          <w:rFonts w:ascii="Arial" w:hAnsi="Arial" w:eastAsia="宋体"/>
          <w:b w:val="0"/>
          <w:color w:val="000000"/>
          <w:sz w:val="21"/>
        </w:rPr>
        <w:t>12 诊断依据：逐条将实际毛囊口消失、周围红斑鳞屑或脓疱等需实查与毛发镜和活动边缘适宜取材；病理亚型决定分类对应；写本例支持、反对及尚缺证据，保持疑似/初诊/确诊确定度。</w:t>
      </w:r>
    </w:p>
    <w:p>
      <w:pPr>
        <w:spacing w:after="100"/>
      </w:pPr>
      <w:r>
        <w:rPr>
          <w:rFonts w:ascii="Arial" w:hAnsi="Arial" w:eastAsia="宋体"/>
          <w:b w:val="0"/>
          <w:color w:val="000000"/>
          <w:sz w:val="21"/>
        </w:rPr>
        <w:t>13 鉴别诊断：斑秃、头癣、瘢痕外伤及其他炎症。每项基于本例支持、反对和下一步验证，不机械写全部排除。</w:t>
      </w:r>
    </w:p>
    <w:p>
      <w:pPr>
        <w:spacing w:after="100"/>
      </w:pPr>
      <w:r>
        <w:rPr>
          <w:rFonts w:ascii="Arial" w:hAnsi="Arial" w:eastAsia="宋体"/>
          <w:b w:val="0"/>
          <w:color w:val="000000"/>
          <w:sz w:val="21"/>
        </w:rPr>
        <w:t>14 分型分期及严重程度：活动炎症与固定瘢痕区分，亚型未明不硬诊。评分需体系版本、分项、日期和评估者，缺变量不自动算。</w:t>
      </w:r>
    </w:p>
    <w:p>
      <w:pPr>
        <w:spacing w:after="100"/>
      </w:pPr>
      <w:r>
        <w:rPr>
          <w:rFonts w:ascii="Arial" w:hAnsi="Arial" w:eastAsia="宋体"/>
          <w:b w:val="0"/>
          <w:color w:val="000000"/>
          <w:sz w:val="21"/>
        </w:rPr>
        <w:t>15 危急病情识别：进展造成不可逆毛囊损失需及时专科处理。危险状态联合06，不等待文书齐全才处置。</w:t>
      </w:r>
    </w:p>
    <w:p>
      <w:pPr>
        <w:spacing w:after="100"/>
      </w:pPr>
      <w:r>
        <w:rPr>
          <w:rFonts w:ascii="Arial" w:hAnsi="Arial" w:eastAsia="宋体"/>
          <w:b w:val="0"/>
          <w:color w:val="000000"/>
          <w:sz w:val="21"/>
        </w:rPr>
        <w:t>16 外用治疗：局部抗炎依活动类型而非仅促生发。该项为决策知识，患者已用与否及用法必须真实。</w:t>
      </w:r>
    </w:p>
    <w:p>
      <w:pPr>
        <w:spacing w:after="100"/>
      </w:pPr>
      <w:r>
        <w:rPr>
          <w:rFonts w:ascii="Arial" w:hAnsi="Arial" w:eastAsia="宋体"/>
          <w:b w:val="0"/>
          <w:color w:val="000000"/>
          <w:sz w:val="21"/>
        </w:rPr>
        <w:t>17 系统治疗：系统抗炎或抗菌依亚型证据选择。不得自动填写剂量频次疗程或疗效，联合07核药物状态。</w:t>
      </w:r>
    </w:p>
    <w:p>
      <w:pPr>
        <w:spacing w:after="100"/>
      </w:pPr>
      <w:r>
        <w:rPr>
          <w:rFonts w:ascii="Arial" w:hAnsi="Arial" w:eastAsia="宋体"/>
          <w:b w:val="0"/>
          <w:color w:val="000000"/>
          <w:sz w:val="21"/>
        </w:rPr>
        <w:t>18 皮肤治疗操作：活检部位取向和多标本要求与病理科确认，未控制活动不自动植发；操作前后按05，拟实施不得写已实施。</w:t>
      </w:r>
    </w:p>
    <w:p>
      <w:pPr>
        <w:spacing w:after="100"/>
      </w:pPr>
      <w:r>
        <w:rPr>
          <w:rFonts w:ascii="Arial" w:hAnsi="Arial" w:eastAsia="宋体"/>
          <w:b w:val="0"/>
          <w:color w:val="000000"/>
          <w:sz w:val="21"/>
        </w:rPr>
        <w:t>19 相关并发症：优先识别进展造成不可逆毛囊损失需及时专科处理；继发感染、瘢痕及药物反应均要实际证据，风险不等已经发生。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病例特点：【真实病史，重点疼痛灼热、进展边界、免疫与感染史；当次毛囊口消失、周围红斑鳞屑或脓疱等需实查】</w:t>
        <w:br/>
        <w:t>初步诊断：【瘢痕性脱发的实际确定度】</w:t>
        <w:br/>
        <w:t>诊断依据：【实际毛发镜和活动边缘适宜取材；病理亚型决定分类】</w:t>
        <w:br/>
        <w:t>鉴别诊断：【斑秃、头癣、瘢痕外伤及其他炎症的支持反对缺口】</w:t>
        <w:br/>
        <w:t>诊疗计划：【医师确认的局部抗炎依活动类型而非仅促生发及必要检查监测；计划与执行分开】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毛囊口消失、周围红斑鳞屑或脓疱等需实查的实见部分及黏膜全身】，检查【当时可知结果】。目前考虑【诊断及确定度】，实际治疗【真实执行】，本日重点观察【活动炎症与固定瘢痕区分，亚型未明不硬诊】，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瘢痕性脱发当前活动及真实治疗执行、短期反应】，关注【进展造成不可逆毛囊损失需及时专科处理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毛发镜和活动边缘适宜取材；病理亚型决定分类与形态对应、斑秃、头癣、瘢痕外伤及其他炎症的鉴别及活动炎症与固定瘢痕区分，亚型未明不硬诊】，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瘢痕性脱发疑难证据及系统风险】，就【系统抗炎或抗菌依亚型证据选择涉及的本例重大决策】提出【真实策略与条件】，长期重点【控制活动是目标之一，不把瘢痕区无生发等同疗效失败】，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活动炎症与固定瘢痕区分，亚型未明不硬诊的真实变化及安全检查】，医师决定【实际药物或局部方案】由【原方案】调整为【新方案】，原因【证据】，当前处方及执行【分别状态】，监测【本例进展造成不可逆毛囊损失需及时专科处理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活检部位取向和多标本要求与病理科确认，未控制活动不自动植发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进展造成不可逆毛囊损失需及时专科处理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诊疗经过：【毛发镜和活动边缘适宜取材；病理亚型决定分类的实际结果、药物操作及转归】</w:t>
        <w:br/>
        <w:t>出院诊断：【确定度与版本】</w:t>
        <w:br/>
        <w:t>出院情况：【当次皮损黏膜全身实查】</w:t>
        <w:br/>
        <w:t>医嘱和未决事项：【控制活动是目标之一，不把瘢痕区无生发等同疗效失败中适用的确认方案及责任】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护理：【局部抗炎依活动类型而非仅促生发中已确认部分】</w:t>
        <w:br/>
        <w:t>复诊及监测：【本例实际项目时点责任】</w:t>
        <w:br/>
        <w:t>警示：【进展造成不可逆毛囊损失需及时专科处理中需要患者识别的事项】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长期随访：控制活动是目标之一，不把瘢痕区无生发等同疗效失败。具体项目、复查频率和责任人来自已确认方案，不统一套固定周期。</w:t>
      </w:r>
    </w:p>
    <w:p>
      <w:pPr>
        <w:spacing w:after="100"/>
      </w:pPr>
      <w:r>
        <w:rPr>
          <w:rFonts w:ascii="Arial" w:hAnsi="Arial" w:eastAsia="宋体"/>
          <w:b w:val="0"/>
          <w:color w:val="000000"/>
          <w:sz w:val="21"/>
        </w:rPr>
        <w:t>31 最终质控：重点核对毛发镜和活动边缘适宜取材；病理亚型决定分类及活动炎症与固定瘢痕区分，亚型未明不硬诊；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291" w:name="b291"/>
      <w:pPr>
        <w:pStyle w:val="Heading2"/>
      </w:pPr>
      <w:r>
        <w:t>07 甲营养不良及甲周炎</w:t>
      </w:r>
      <w:bookmarkEnd w:id="291"/>
    </w:p>
    <w:p>
      <w:pPr>
        <w:spacing w:after="100"/>
      </w:pPr>
      <w:r>
        <w:rPr>
          <w:rFonts w:ascii="Arial" w:hAnsi="Arial" w:eastAsia="宋体"/>
          <w:b w:val="0"/>
          <w:color w:val="000000"/>
          <w:sz w:val="21"/>
        </w:rPr>
        <w:t>01 疾病定义：甲结构异常可由炎症外伤感染等导致。该定义是专业知识，不能代替本例诊断。</w:t>
      </w:r>
    </w:p>
    <w:p>
      <w:pPr>
        <w:spacing w:after="100"/>
      </w:pPr>
      <w:r>
        <w:rPr>
          <w:rFonts w:ascii="Arial" w:hAnsi="Arial" w:eastAsia="宋体"/>
          <w:b w:val="0"/>
          <w:color w:val="000000"/>
          <w:sz w:val="21"/>
        </w:rPr>
        <w:t>02 病因及发病机制：围绕甲结构异常可由炎症外伤感染等导致采集相关线索；患者病因只写已核证据，未证实时保留可能性。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临床表现：症状、全身受累及变化按实际病史与检查；重点核实外伤湿作业药物、皮肤原病及慢性复发。</w:t>
      </w:r>
    </w:p>
    <w:p>
      <w:pPr>
        <w:spacing w:after="100"/>
      </w:pPr>
      <w:r>
        <w:rPr>
          <w:rFonts w:ascii="Arial" w:hAnsi="Arial" w:eastAsia="宋体"/>
          <w:b w:val="0"/>
          <w:color w:val="000000"/>
          <w:sz w:val="21"/>
        </w:rPr>
        <w:t>04 典型皮损形态：逐甲纵横沟点凹色变分离，甲周红肿脓液单记。典型性只用于鉴别，不自动添加到患者查体。</w:t>
      </w:r>
    </w:p>
    <w:p>
      <w:pPr>
        <w:spacing w:after="100"/>
      </w:pPr>
      <w:r>
        <w:rPr>
          <w:rFonts w:ascii="Arial" w:hAnsi="Arial" w:eastAsia="宋体"/>
          <w:b w:val="0"/>
          <w:color w:val="000000"/>
          <w:sz w:val="21"/>
        </w:rPr>
        <w:t>05 皮损部位及分布：逐病灶记录逐甲纵横沟点凹色变分离，甲周红肿脓液单记涉及的实际部位侧别、数量排列对称和范围；不补“全身”。</w:t>
      </w:r>
    </w:p>
    <w:p>
      <w:pPr>
        <w:spacing w:after="100"/>
      </w:pPr>
      <w:r>
        <w:rPr>
          <w:rFonts w:ascii="Arial" w:hAnsi="Arial" w:eastAsia="宋体"/>
          <w:b w:val="0"/>
          <w:color w:val="000000"/>
          <w:sz w:val="21"/>
        </w:rPr>
        <w:t>06 病史采集重点：外伤湿作业药物、皮肤原病及慢性复发；保留发病与发现、首次与复发、用药计划与执行的差别。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专科检查：按03实查原发继发皮损、黏膜、毛发甲及必要触诊，围绕急慢性甲周炎及甲母质甲床受累记录而不强行检查无关项目。</w:t>
      </w:r>
    </w:p>
    <w:p>
      <w:pPr>
        <w:spacing w:after="100"/>
      </w:pPr>
      <w:r>
        <w:rPr>
          <w:rFonts w:ascii="Arial" w:hAnsi="Arial" w:eastAsia="宋体"/>
          <w:b w:val="0"/>
          <w:color w:val="000000"/>
          <w:sz w:val="21"/>
        </w:rPr>
        <w:t>08 实验室检查：真菌检查按指征，色素带或肿物可甲专科评估病理；检查项目按问题选择，未做不写正常。</w:t>
      </w:r>
    </w:p>
    <w:p>
      <w:pPr>
        <w:spacing w:after="100"/>
      </w:pPr>
      <w:r>
        <w:rPr>
          <w:rFonts w:ascii="Arial" w:hAnsi="Arial" w:eastAsia="宋体"/>
          <w:b w:val="0"/>
          <w:color w:val="000000"/>
          <w:sz w:val="21"/>
        </w:rPr>
        <w:t>09 皮肤镜或其他辅助检查：围绕真菌检查按指征，色素带或肿物可甲专科评估病理选择必要辅查；没有特定指征不常规添加皮肤镜，普通照不当镜图。</w:t>
      </w:r>
    </w:p>
    <w:p>
      <w:pPr>
        <w:spacing w:after="100"/>
      </w:pPr>
      <w:r>
        <w:rPr>
          <w:rFonts w:ascii="Arial" w:hAnsi="Arial" w:eastAsia="宋体"/>
          <w:b w:val="0"/>
          <w:color w:val="000000"/>
          <w:sz w:val="21"/>
        </w:rPr>
        <w:t>10 病理及免疫检查：引流或甲活检须记录实际部位并说明瘢痕风险。HE、DIF、IIF及抗体按实际诊断问题选择，非典型或疑难再评取材；无适应证不强制。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诊断标准：采用可核实的适用临床及专科体系，真菌检查按指征，色素带或肿物可甲专科评估病理；未核全文的评分标准不得凭题录复造。</w:t>
      </w:r>
    </w:p>
    <w:p>
      <w:pPr>
        <w:spacing w:after="100"/>
      </w:pPr>
      <w:r>
        <w:rPr>
          <w:rFonts w:ascii="Arial" w:hAnsi="Arial" w:eastAsia="宋体"/>
          <w:b w:val="0"/>
          <w:color w:val="000000"/>
          <w:sz w:val="21"/>
        </w:rPr>
        <w:t>12 诊断依据：逐条将实际逐甲纵横沟点凹色变分离，甲周红肿脓液单记与真菌检查按指征，色素带或肿物可甲专科评估病理对应；写本例支持、反对及尚缺证据，保持疑似/初诊/确诊确定度。</w:t>
      </w:r>
    </w:p>
    <w:p>
      <w:pPr>
        <w:spacing w:after="100"/>
      </w:pPr>
      <w:r>
        <w:rPr>
          <w:rFonts w:ascii="Arial" w:hAnsi="Arial" w:eastAsia="宋体"/>
          <w:b w:val="0"/>
          <w:color w:val="000000"/>
          <w:sz w:val="21"/>
        </w:rPr>
        <w:t>13 鉴别诊断：甲真菌病、银屑病甲、扁平苔藓和甲下肿瘤。每项基于本例支持、反对和下一步验证，不机械写全部排除。</w:t>
      </w:r>
    </w:p>
    <w:p>
      <w:pPr>
        <w:spacing w:after="100"/>
      </w:pPr>
      <w:r>
        <w:rPr>
          <w:rFonts w:ascii="Arial" w:hAnsi="Arial" w:eastAsia="宋体"/>
          <w:b w:val="0"/>
          <w:color w:val="000000"/>
          <w:sz w:val="21"/>
        </w:rPr>
        <w:t>14 分型分期及严重程度：急慢性甲周炎及甲母质甲床受累。评分需体系版本、分项、日期和评估者，缺变量不自动算。</w:t>
      </w:r>
    </w:p>
    <w:p>
      <w:pPr>
        <w:spacing w:after="100"/>
      </w:pPr>
      <w:r>
        <w:rPr>
          <w:rFonts w:ascii="Arial" w:hAnsi="Arial" w:eastAsia="宋体"/>
          <w:b w:val="0"/>
          <w:color w:val="000000"/>
          <w:sz w:val="21"/>
        </w:rPr>
        <w:t>15 危急病情识别：疼痛脓肿、深部感染或新发变化色素带。危险状态联合06，不等待文书齐全才处置。</w:t>
      </w:r>
    </w:p>
    <w:p>
      <w:pPr>
        <w:spacing w:after="100"/>
      </w:pPr>
      <w:r>
        <w:rPr>
          <w:rFonts w:ascii="Arial" w:hAnsi="Arial" w:eastAsia="宋体"/>
          <w:b w:val="0"/>
          <w:color w:val="000000"/>
          <w:sz w:val="21"/>
        </w:rPr>
        <w:t>16 外用治疗：防湿刺激及局部抗炎抗感染按病因。该项为决策知识，患者已用与否及用法必须真实。</w:t>
      </w:r>
    </w:p>
    <w:p>
      <w:pPr>
        <w:spacing w:after="100"/>
      </w:pPr>
      <w:r>
        <w:rPr>
          <w:rFonts w:ascii="Arial" w:hAnsi="Arial" w:eastAsia="宋体"/>
          <w:b w:val="0"/>
          <w:color w:val="000000"/>
          <w:sz w:val="21"/>
        </w:rPr>
        <w:t>17 系统治疗：系统药须明确指征，甲变形不自动系统抗真菌。不得自动填写剂量频次疗程或疗效，联合07核药物状态。</w:t>
      </w:r>
    </w:p>
    <w:p>
      <w:pPr>
        <w:spacing w:after="100"/>
      </w:pPr>
      <w:r>
        <w:rPr>
          <w:rFonts w:ascii="Arial" w:hAnsi="Arial" w:eastAsia="宋体"/>
          <w:b w:val="0"/>
          <w:color w:val="000000"/>
          <w:sz w:val="21"/>
        </w:rPr>
        <w:t>18 皮肤治疗操作：引流或甲活检须记录实际部位并说明瘢痕风险；操作前后按05，拟实施不得写已实施。</w:t>
      </w:r>
    </w:p>
    <w:p>
      <w:pPr>
        <w:spacing w:after="100"/>
      </w:pPr>
      <w:r>
        <w:rPr>
          <w:rFonts w:ascii="Arial" w:hAnsi="Arial" w:eastAsia="宋体"/>
          <w:b w:val="0"/>
          <w:color w:val="000000"/>
          <w:sz w:val="21"/>
        </w:rPr>
        <w:t>19 相关并发症：优先识别疼痛脓肿、深部感染或新发变化色素带；继发感染、瘢痕及药物反应均要实际证据，风险不等已经发生。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病例特点：【真实病史，重点外伤湿作业药物、皮肤原病及慢性复发；当次逐甲纵横沟点凹色变分离，甲周红肿脓液单记】</w:t>
        <w:br/>
        <w:t>初步诊断：【甲营养不良及甲周炎的实际确定度】</w:t>
        <w:br/>
        <w:t>诊断依据：【实际真菌检查按指征，色素带或肿物可甲专科评估病理】</w:t>
        <w:br/>
        <w:t>鉴别诊断：【甲真菌病、银屑病甲、扁平苔藓和甲下肿瘤的支持反对缺口】</w:t>
        <w:br/>
        <w:t>诊疗计划：【医师确认的防湿刺激及局部抗炎抗感染按病因及必要检查监测；计划与执行分开】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逐甲纵横沟点凹色变分离，甲周红肿脓液单记的实见部分及黏膜全身】，检查【当时可知结果】。目前考虑【诊断及确定度】，实际治疗【真实执行】，本日重点观察【急慢性甲周炎及甲母质甲床受累】，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甲营养不良及甲周炎当前活动及真实治疗执行、短期反应】，关注【疼痛脓肿、深部感染或新发变化色素带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真菌检查按指征，色素带或肿物可甲专科评估病理与形态对应、甲真菌病、银屑病甲、扁平苔藓和甲下肿瘤的鉴别及急慢性甲周炎及甲母质甲床受累】，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甲营养不良及甲周炎疑难证据及系统风险】，就【系统药须明确指征，甲变形不自动系统抗真菌涉及的本例重大决策】提出【真实策略与条件】，长期重点【甲板生长慢，区分结构残留和活动炎症】，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急慢性甲周炎及甲母质甲床受累的真实变化及安全检查】，医师决定【实际药物或局部方案】由【原方案】调整为【新方案】，原因【证据】，当前处方及执行【分别状态】，监测【本例疼痛脓肿、深部感染或新发变化色素带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引流或甲活检须记录实际部位并说明瘢痕风险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疼痛脓肿、深部感染或新发变化色素带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诊疗经过：【真菌检查按指征，色素带或肿物可甲专科评估病理的实际结果、药物操作及转归】</w:t>
        <w:br/>
        <w:t>出院诊断：【确定度与版本】</w:t>
        <w:br/>
        <w:t>出院情况：【当次皮损黏膜全身实查】</w:t>
        <w:br/>
        <w:t>医嘱和未决事项：【甲板生长慢，区分结构残留和活动炎症中适用的确认方案及责任】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护理：【防湿刺激及局部抗炎抗感染按病因中已确认部分】</w:t>
        <w:br/>
        <w:t>复诊及监测：【本例实际项目时点责任】</w:t>
        <w:br/>
        <w:t>警示：【疼痛脓肿、深部感染或新发变化色素带中需要患者识别的事项】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长期随访：甲板生长慢，区分结构残留和活动炎症。具体项目、复查频率和责任人来自已确认方案，不统一套固定周期。</w:t>
      </w:r>
    </w:p>
    <w:p>
      <w:pPr>
        <w:spacing w:after="100"/>
      </w:pPr>
      <w:r>
        <w:rPr>
          <w:rFonts w:ascii="Arial" w:hAnsi="Arial" w:eastAsia="宋体"/>
          <w:b w:val="0"/>
          <w:color w:val="000000"/>
          <w:sz w:val="21"/>
        </w:rPr>
        <w:t>31 最终质控：重点核对真菌检查按指征，色素带或肿物可甲专科评估病理及急慢性甲周炎及甲母质甲床受累；防止将典型表现当事实、风险当并发症、拟治疗当执行。查房层级与真实意见及代码框经10终审。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334" w:name="b334"/>
      <w:pPr>
        <w:pStyle w:val="Heading2"/>
      </w:pPr>
      <w:r>
        <w:t>08 化脓性汗腺炎</w:t>
      </w:r>
      <w:bookmarkEnd w:id="334"/>
    </w:p>
    <w:p>
      <w:pPr>
        <w:spacing w:after="100"/>
      </w:pPr>
      <w:r>
        <w:rPr>
          <w:rFonts w:ascii="Arial" w:hAnsi="Arial" w:eastAsia="宋体"/>
          <w:b w:val="0"/>
          <w:color w:val="000000"/>
          <w:sz w:val="21"/>
        </w:rPr>
        <w:t>01 疾病定义：毛囊闭塞相关慢性复发性炎症性疾病，并非单纯脓肿。该定义是专业知识，不能代替本例诊断。</w:t>
      </w:r>
    </w:p>
    <w:p>
      <w:pPr>
        <w:spacing w:after="100"/>
      </w:pPr>
      <w:r>
        <w:rPr>
          <w:rFonts w:ascii="Arial" w:hAnsi="Arial" w:eastAsia="宋体"/>
          <w:b w:val="0"/>
          <w:color w:val="000000"/>
          <w:sz w:val="21"/>
        </w:rPr>
        <w:t>02 病因及发病机制：围绕毛囊闭塞相关慢性复发性炎症性疾病，并非单纯脓肿采集相关线索；患者病因只写已核证据，未证实时保留可能性。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临床表现：症状、全身受累及变化按实际病史与检查；重点核实复发部位次数、吸烟体重、疼痛渗液及既往引流。</w:t>
      </w:r>
    </w:p>
    <w:p>
      <w:pPr>
        <w:spacing w:after="100"/>
      </w:pPr>
      <w:r>
        <w:rPr>
          <w:rFonts w:ascii="Arial" w:hAnsi="Arial" w:eastAsia="宋体"/>
          <w:b w:val="0"/>
          <w:color w:val="000000"/>
          <w:sz w:val="21"/>
        </w:rPr>
        <w:t>04 典型皮损形态：腋窝腹股沟等结节脓肿窦道瘢痕逐区标记。典型性只用于鉴别，不自动添加到患者查体。</w:t>
      </w:r>
    </w:p>
    <w:p>
      <w:pPr>
        <w:spacing w:after="100"/>
      </w:pPr>
      <w:r>
        <w:rPr>
          <w:rFonts w:ascii="Arial" w:hAnsi="Arial" w:eastAsia="宋体"/>
          <w:b w:val="0"/>
          <w:color w:val="000000"/>
          <w:sz w:val="21"/>
        </w:rPr>
        <w:t>05 皮损部位及分布：逐病灶记录腋窝腹股沟等结节脓肿窦道瘢痕逐区标记涉及的实际部位侧别、数量排列对称和范围；不补“全身”。</w:t>
      </w:r>
    </w:p>
    <w:p>
      <w:pPr>
        <w:spacing w:after="100"/>
      </w:pPr>
      <w:r>
        <w:rPr>
          <w:rFonts w:ascii="Arial" w:hAnsi="Arial" w:eastAsia="宋体"/>
          <w:b w:val="0"/>
          <w:color w:val="000000"/>
          <w:sz w:val="21"/>
        </w:rPr>
        <w:t>06 病史采集重点：复发部位次数、吸烟体重、疼痛渗液及既往引流；保留发病与发现、首次与复发、用药计划与执行的差别。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专科检查：按03实查原发继发皮损、黏膜、毛发甲及必要触诊，围绕Hurley等分期注明依据，动态活动可另用适当量表记录而不强行检查无关项目。</w:t>
      </w:r>
    </w:p>
    <w:p>
      <w:pPr>
        <w:spacing w:after="100"/>
      </w:pPr>
      <w:r>
        <w:rPr>
          <w:rFonts w:ascii="Arial" w:hAnsi="Arial" w:eastAsia="宋体"/>
          <w:b w:val="0"/>
          <w:color w:val="000000"/>
          <w:sz w:val="21"/>
        </w:rPr>
        <w:t>08 实验室检查：临床三要素与真实病程；培养用于继发感染而非唯一诊断；检查项目按问题选择，未做不写正常。</w:t>
      </w:r>
    </w:p>
    <w:p>
      <w:pPr>
        <w:spacing w:after="100"/>
      </w:pPr>
      <w:r>
        <w:rPr>
          <w:rFonts w:ascii="Arial" w:hAnsi="Arial" w:eastAsia="宋体"/>
          <w:b w:val="0"/>
          <w:color w:val="000000"/>
          <w:sz w:val="21"/>
        </w:rPr>
        <w:t>09 皮肤镜或其他辅助检查：围绕临床三要素与真实病程；培养用于继发感染而非唯一诊断选择必要辅查；没有特定指征不常规添加皮肤镜，普通照不当镜图。</w:t>
      </w:r>
    </w:p>
    <w:p>
      <w:pPr>
        <w:spacing w:after="100"/>
      </w:pPr>
      <w:r>
        <w:rPr>
          <w:rFonts w:ascii="Arial" w:hAnsi="Arial" w:eastAsia="宋体"/>
          <w:b w:val="0"/>
          <w:color w:val="000000"/>
          <w:sz w:val="21"/>
        </w:rPr>
        <w:t>10 病理及免疫检查：引流、去顶或切除各有目的，已实施范围与标本独立。HE、DIF、IIF及抗体按实际诊断问题选择，非典型或疑难再评取材；无适应证不强制。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诊断标准：采用可核实的适用临床及专科体系，临床三要素与真实病程；培养用于继发感染而非唯一诊断；未核全文的评分标准不得凭题录复造。</w:t>
      </w:r>
    </w:p>
    <w:p>
      <w:pPr>
        <w:spacing w:after="100"/>
      </w:pPr>
      <w:r>
        <w:rPr>
          <w:rFonts w:ascii="Arial" w:hAnsi="Arial" w:eastAsia="宋体"/>
          <w:b w:val="0"/>
          <w:color w:val="000000"/>
          <w:sz w:val="21"/>
        </w:rPr>
        <w:t>12 诊断依据：逐条将实际腋窝腹股沟等结节脓肿窦道瘢痕逐区标记与临床三要素与真实病程；培养用于继发感染而非唯一诊断对应；写本例支持、反对及尚缺证据，保持疑似/初诊/确诊确定度。</w:t>
      </w:r>
    </w:p>
    <w:p>
      <w:pPr>
        <w:spacing w:after="100"/>
      </w:pPr>
      <w:r>
        <w:rPr>
          <w:rFonts w:ascii="Arial" w:hAnsi="Arial" w:eastAsia="宋体"/>
          <w:b w:val="0"/>
          <w:color w:val="000000"/>
          <w:sz w:val="21"/>
        </w:rPr>
        <w:t>13 鉴别诊断：反复疖、感染囊肿、皮肤克罗恩病及瘘管。每项基于本例支持、反对和下一步验证，不机械写全部排除。</w:t>
      </w:r>
    </w:p>
    <w:p>
      <w:pPr>
        <w:spacing w:after="100"/>
      </w:pPr>
      <w:r>
        <w:rPr>
          <w:rFonts w:ascii="Arial" w:hAnsi="Arial" w:eastAsia="宋体"/>
          <w:b w:val="0"/>
          <w:color w:val="000000"/>
          <w:sz w:val="21"/>
        </w:rPr>
        <w:t>14 分型分期及严重程度：Hurley等分期注明依据，动态活动可另用适当量表。评分需体系版本、分项、日期和评估者，缺变量不自动算。</w:t>
      </w:r>
    </w:p>
    <w:p>
      <w:pPr>
        <w:spacing w:after="100"/>
      </w:pPr>
      <w:r>
        <w:rPr>
          <w:rFonts w:ascii="Arial" w:hAnsi="Arial" w:eastAsia="宋体"/>
          <w:b w:val="0"/>
          <w:color w:val="000000"/>
          <w:sz w:val="21"/>
        </w:rPr>
        <w:t>15 危急病情识别：快速坏死全身反应需排严重感染，持续溃疡肿物需活检。危险状态联合06，不等待文书齐全才处置。</w:t>
      </w:r>
    </w:p>
    <w:p>
      <w:pPr>
        <w:spacing w:after="100"/>
      </w:pPr>
      <w:r>
        <w:rPr>
          <w:rFonts w:ascii="Arial" w:hAnsi="Arial" w:eastAsia="宋体"/>
          <w:b w:val="0"/>
          <w:color w:val="000000"/>
          <w:sz w:val="21"/>
        </w:rPr>
        <w:t>16 外用治疗：部位护理及局部方案按严重度。该项为决策知识，患者已用与否及用法必须真实。</w:t>
      </w:r>
    </w:p>
    <w:p>
      <w:pPr>
        <w:spacing w:after="100"/>
      </w:pPr>
      <w:r>
        <w:rPr>
          <w:rFonts w:ascii="Arial" w:hAnsi="Arial" w:eastAsia="宋体"/>
          <w:b w:val="0"/>
          <w:color w:val="000000"/>
          <w:sz w:val="21"/>
        </w:rPr>
        <w:t>17 系统治疗：抗炎抗菌、生物制剂等按医师决定与筛查，不把所有窦道写感染。不得自动填写剂量频次疗程或疗效，联合07核药物状态。</w:t>
      </w:r>
    </w:p>
    <w:p>
      <w:pPr>
        <w:spacing w:after="100"/>
      </w:pPr>
      <w:r>
        <w:rPr>
          <w:rFonts w:ascii="Arial" w:hAnsi="Arial" w:eastAsia="宋体"/>
          <w:b w:val="0"/>
          <w:color w:val="000000"/>
          <w:sz w:val="21"/>
        </w:rPr>
        <w:t>18 皮肤治疗操作：引流、去顶或切除各有目的，已实施范围与标本独立；操作前后按05，拟实施不得写已实施。</w:t>
      </w:r>
    </w:p>
    <w:p>
      <w:pPr>
        <w:spacing w:after="100"/>
      </w:pPr>
      <w:r>
        <w:rPr>
          <w:rFonts w:ascii="Arial" w:hAnsi="Arial" w:eastAsia="宋体"/>
          <w:b w:val="0"/>
          <w:color w:val="000000"/>
          <w:sz w:val="21"/>
        </w:rPr>
        <w:t>19 相关并发症：优先识别快速坏死全身反应需排严重感染，持续溃疡肿物需活检；继发感染、瘢痕及药物反应均要实际证据，风险不等已经发生。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病例特点：【真实病史，重点复发部位次数、吸烟体重、疼痛渗液及既往引流；当次腋窝腹股沟等结节脓肿窦道瘢痕逐区标记】</w:t>
        <w:br/>
        <w:t>初步诊断：【化脓性汗腺炎的实际确定度】</w:t>
        <w:br/>
        <w:t>诊断依据：【实际临床三要素与真实病程；培养用于继发感染而非唯一诊断】</w:t>
        <w:br/>
        <w:t>鉴别诊断：【反复疖、感染囊肿、皮肤克罗恩病及瘘管的支持反对缺口】</w:t>
        <w:br/>
        <w:t>诊疗计划：【医师确认的部位护理及局部方案按严重度及必要检查监测；计划与执行分开】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腋窝腹股沟等结节脓肿窦道瘢痕逐区标记的实见部分及黏膜全身】，检查【当时可知结果】。目前考虑【诊断及确定度】，实际治疗【真实执行】，本日重点观察【Hurley等分期注明依据，动态活动可另用适当量表】，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化脓性汗腺炎当前活动及真实治疗执行、短期反应】，关注【快速坏死全身反应需排严重感染，持续溃疡肿物需活检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三要素与真实病程；培养用于继发感染而非唯一诊断与形态对应、反复疖、感染囊肿、皮肤克罗恩病及瘘管的鉴别及Hurley等分期注明依据，动态活动可另用适当量表】，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化脓性汗腺炎疑难证据及系统风险】，就【抗炎抗菌、生物制剂等按医师决定与筛查，不把所有窦道写感染涉及的本例重大决策】提出【真实策略与条件】，长期重点【疼痛、窦道与功能分开，慢病支持及术后创面随访】，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Hurley等分期注明依据，动态活动可另用适当量表的真实变化及安全检查】，医师决定【实际药物或局部方案】由【原方案】调整为【新方案】，原因【证据】，当前处方及执行【分别状态】，监测【本例快速坏死全身反应需排严重感染，持续溃疡肿物需活检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引流、去顶或切除各有目的，已实施范围与标本独立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坏死全身反应需排严重感染，持续溃疡肿物需活检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诊疗经过：【临床三要素与真实病程；培养用于继发感染而非唯一诊断的实际结果、药物操作及转归】</w:t>
        <w:br/>
        <w:t>出院诊断：【确定度与版本】</w:t>
        <w:br/>
        <w:t>出院情况：【当次皮损黏膜全身实查】</w:t>
        <w:br/>
        <w:t>医嘱和未决事项：【疼痛、窦道与功能分开，慢病支持及术后创面随访中适用的确认方案及责任】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护理：【部位护理及局部方案按严重度中已确认部分】</w:t>
        <w:br/>
        <w:t>复诊及监测：【本例实际项目时点责任】</w:t>
        <w:br/>
        <w:t>警示：【快速坏死全身反应需排严重感染，持续溃疡肿物需活检中需要患者识别的事项】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长期随访：疼痛、窦道与功能分开，慢病支持及术后创面随访。具体项目、复查频率和责任人来自已确认方案，不统一套固定周期。</w:t>
      </w:r>
    </w:p>
    <w:p>
      <w:pPr>
        <w:spacing w:after="100"/>
      </w:pPr>
      <w:r>
        <w:rPr>
          <w:rFonts w:ascii="Arial" w:hAnsi="Arial" w:eastAsia="宋体"/>
          <w:b w:val="0"/>
          <w:color w:val="000000"/>
          <w:sz w:val="21"/>
        </w:rPr>
        <w:t>31 最终质控：重点核对临床三要素与真实病程；培养用于继发感染而非唯一诊断及Hurley等分期注明依据，动态活动可另用适当量表；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377" w:name="b377"/>
      <w:pPr>
        <w:pStyle w:val="Heading2"/>
      </w:pPr>
      <w:r>
        <w:t>09 多汗症臭汗症及其他汗腺病</w:t>
      </w:r>
      <w:bookmarkEnd w:id="377"/>
    </w:p>
    <w:p>
      <w:pPr>
        <w:spacing w:after="100"/>
      </w:pPr>
      <w:r>
        <w:rPr>
          <w:rFonts w:ascii="Arial" w:hAnsi="Arial" w:eastAsia="宋体"/>
          <w:b w:val="0"/>
          <w:color w:val="000000"/>
          <w:sz w:val="21"/>
        </w:rPr>
        <w:t>01 疾病定义：出汗量异常与气味问题可能不同机制。该定义是专业知识，不能代替本例诊断。</w:t>
      </w:r>
    </w:p>
    <w:p>
      <w:pPr>
        <w:spacing w:after="100"/>
      </w:pPr>
      <w:r>
        <w:rPr>
          <w:rFonts w:ascii="Arial" w:hAnsi="Arial" w:eastAsia="宋体"/>
          <w:b w:val="0"/>
          <w:color w:val="000000"/>
          <w:sz w:val="21"/>
        </w:rPr>
        <w:t>02 病因及发病机制：围绕出汗量异常与气味问题可能不同机制采集相关线索；患者病因只写已核证据，未证实时保留可能性。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临床表现：症状、全身受累及变化按实际病史与检查；重点核实起病年龄、夜汗、全身症状、药物与生活影响。</w:t>
      </w:r>
    </w:p>
    <w:p>
      <w:pPr>
        <w:spacing w:after="100"/>
      </w:pPr>
      <w:r>
        <w:rPr>
          <w:rFonts w:ascii="Arial" w:hAnsi="Arial" w:eastAsia="宋体"/>
          <w:b w:val="0"/>
          <w:color w:val="000000"/>
          <w:sz w:val="21"/>
        </w:rPr>
        <w:t>04 典型皮损形态：部位、双侧、汗液或气味及皮肤损伤实录。典型性只用于鉴别，不自动添加到患者查体。</w:t>
      </w:r>
    </w:p>
    <w:p>
      <w:pPr>
        <w:spacing w:after="100"/>
      </w:pPr>
      <w:r>
        <w:rPr>
          <w:rFonts w:ascii="Arial" w:hAnsi="Arial" w:eastAsia="宋体"/>
          <w:b w:val="0"/>
          <w:color w:val="000000"/>
          <w:sz w:val="21"/>
        </w:rPr>
        <w:t>05 皮损部位及分布：逐病灶记录部位、双侧、汗液或气味及皮肤损伤实录涉及的实际部位侧别、数量排列对称和范围；不补“全身”。</w:t>
      </w:r>
    </w:p>
    <w:p>
      <w:pPr>
        <w:spacing w:after="100"/>
      </w:pPr>
      <w:r>
        <w:rPr>
          <w:rFonts w:ascii="Arial" w:hAnsi="Arial" w:eastAsia="宋体"/>
          <w:b w:val="0"/>
          <w:color w:val="000000"/>
          <w:sz w:val="21"/>
        </w:rPr>
        <w:t>06 病史采集重点：起病年龄、夜汗、全身症状、药物与生活影响；保留发病与发现、首次与复发、用药计划与执行的差别。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专科检查：按03实查原发继发皮损、黏膜、毛发甲及必要触诊，围绕局限或泛发、严重度及继发性可能记录而不强行检查无关项目。</w:t>
      </w:r>
    </w:p>
    <w:p>
      <w:pPr>
        <w:spacing w:after="100"/>
      </w:pPr>
      <w:r>
        <w:rPr>
          <w:rFonts w:ascii="Arial" w:hAnsi="Arial" w:eastAsia="宋体"/>
          <w:b w:val="0"/>
          <w:color w:val="000000"/>
          <w:sz w:val="21"/>
        </w:rPr>
        <w:t>08 实验室检查：局灶典型多依临床，全身夜汗按线索查继发原因；检查项目按问题选择，未做不写正常。</w:t>
      </w:r>
    </w:p>
    <w:p>
      <w:pPr>
        <w:spacing w:after="100"/>
      </w:pPr>
      <w:r>
        <w:rPr>
          <w:rFonts w:ascii="Arial" w:hAnsi="Arial" w:eastAsia="宋体"/>
          <w:b w:val="0"/>
          <w:color w:val="000000"/>
          <w:sz w:val="21"/>
        </w:rPr>
        <w:t>09 皮肤镜或其他辅助检查：围绕局灶典型多依临床，全身夜汗按线索查继发原因选择必要辅查；没有特定指征不常规添加皮肤镜，普通照不当镜图。</w:t>
      </w:r>
    </w:p>
    <w:p>
      <w:pPr>
        <w:spacing w:after="100"/>
      </w:pPr>
      <w:r>
        <w:rPr>
          <w:rFonts w:ascii="Arial" w:hAnsi="Arial" w:eastAsia="宋体"/>
          <w:b w:val="0"/>
          <w:color w:val="000000"/>
          <w:sz w:val="21"/>
        </w:rPr>
        <w:t>10 病理及免疫检查：肉毒毒素、能量设备或手术须本院授权、剂量部位实录。HE、DIF、IIF及抗体按实际诊断问题选择，非典型或疑难再评取材；无适应证不强制。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诊断标准：采用可核实的适用临床及专科体系，局灶典型多依临床，全身夜汗按线索查继发原因；未核全文的评分标准不得凭题录复造。</w:t>
      </w:r>
    </w:p>
    <w:p>
      <w:pPr>
        <w:spacing w:after="100"/>
      </w:pPr>
      <w:r>
        <w:rPr>
          <w:rFonts w:ascii="Arial" w:hAnsi="Arial" w:eastAsia="宋体"/>
          <w:b w:val="0"/>
          <w:color w:val="000000"/>
          <w:sz w:val="21"/>
        </w:rPr>
        <w:t>12 诊断依据：逐条将实际部位、双侧、汗液或气味及皮肤损伤实录与局灶典型多依临床，全身夜汗按线索查继发原因对应；写本例支持、反对及尚缺证据，保持疑似/初诊/确诊确定度。</w:t>
      </w:r>
    </w:p>
    <w:p>
      <w:pPr>
        <w:spacing w:after="100"/>
      </w:pPr>
      <w:r>
        <w:rPr>
          <w:rFonts w:ascii="Arial" w:hAnsi="Arial" w:eastAsia="宋体"/>
          <w:b w:val="0"/>
          <w:color w:val="000000"/>
          <w:sz w:val="21"/>
        </w:rPr>
        <w:t>13 鉴别诊断：甲状腺等系统病、药物、感染、代谢及焦虑相关。每项基于本例支持、反对和下一步验证，不机械写全部排除。</w:t>
      </w:r>
    </w:p>
    <w:p>
      <w:pPr>
        <w:spacing w:after="100"/>
      </w:pPr>
      <w:r>
        <w:rPr>
          <w:rFonts w:ascii="Arial" w:hAnsi="Arial" w:eastAsia="宋体"/>
          <w:b w:val="0"/>
          <w:color w:val="000000"/>
          <w:sz w:val="21"/>
        </w:rPr>
        <w:t>14 分型分期及严重程度：局限或泛发、严重度及继发性可能。评分需体系版本、分项、日期和评估者，缺变量不自动算。</w:t>
      </w:r>
    </w:p>
    <w:p>
      <w:pPr>
        <w:spacing w:after="100"/>
      </w:pPr>
      <w:r>
        <w:rPr>
          <w:rFonts w:ascii="Arial" w:hAnsi="Arial" w:eastAsia="宋体"/>
          <w:b w:val="0"/>
          <w:color w:val="000000"/>
          <w:sz w:val="21"/>
        </w:rPr>
        <w:t>15 危急病情识别：突发全身盗汗体重下降等需进一步评估。危险状态联合06，不等待文书齐全才处置。</w:t>
      </w:r>
    </w:p>
    <w:p>
      <w:pPr>
        <w:spacing w:after="100"/>
      </w:pPr>
      <w:r>
        <w:rPr>
          <w:rFonts w:ascii="Arial" w:hAnsi="Arial" w:eastAsia="宋体"/>
          <w:b w:val="0"/>
          <w:color w:val="000000"/>
          <w:sz w:val="21"/>
        </w:rPr>
        <w:t>16 外用治疗：局部止汗及护理须皮肤完整性与刺激风险评估。该项为决策知识，患者已用与否及用法必须真实。</w:t>
      </w:r>
    </w:p>
    <w:p>
      <w:pPr>
        <w:spacing w:after="100"/>
      </w:pPr>
      <w:r>
        <w:rPr>
          <w:rFonts w:ascii="Arial" w:hAnsi="Arial" w:eastAsia="宋体"/>
          <w:b w:val="0"/>
          <w:color w:val="000000"/>
          <w:sz w:val="21"/>
        </w:rPr>
        <w:t>17 系统治疗：系统止汗类药风险及禁忌由医师核，不默认所有患者需要。不得自动填写剂量频次疗程或疗效，联合07核药物状态。</w:t>
      </w:r>
    </w:p>
    <w:p>
      <w:pPr>
        <w:spacing w:after="100"/>
      </w:pPr>
      <w:r>
        <w:rPr>
          <w:rFonts w:ascii="Arial" w:hAnsi="Arial" w:eastAsia="宋体"/>
          <w:b w:val="0"/>
          <w:color w:val="000000"/>
          <w:sz w:val="21"/>
        </w:rPr>
        <w:t>18 皮肤治疗操作：肉毒毒素、能量设备或手术须本院授权、剂量部位实录；操作前后按05，拟实施不得写已实施。</w:t>
      </w:r>
    </w:p>
    <w:p>
      <w:pPr>
        <w:spacing w:after="100"/>
      </w:pPr>
      <w:r>
        <w:rPr>
          <w:rFonts w:ascii="Arial" w:hAnsi="Arial" w:eastAsia="宋体"/>
          <w:b w:val="0"/>
          <w:color w:val="000000"/>
          <w:sz w:val="21"/>
        </w:rPr>
        <w:t>19 相关并发症：优先识别突发全身盗汗体重下降等需进一步评估；继发感染、瘢痕及药物反应均要实际证据，风险不等已经发生。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病例特点：【真实病史，重点起病年龄、夜汗、全身症状、药物与生活影响；当次部位、双侧、汗液或气味及皮肤损伤实录】</w:t>
        <w:br/>
        <w:t>初步诊断：【多汗症臭汗症及其他汗腺病的实际确定度】</w:t>
        <w:br/>
        <w:t>诊断依据：【实际局灶典型多依临床，全身夜汗按线索查继发原因】</w:t>
        <w:br/>
        <w:t>鉴别诊断：【甲状腺等系统病、药物、感染、代谢及焦虑相关的支持反对缺口】</w:t>
        <w:br/>
        <w:t>诊疗计划：【医师确认的局部止汗及护理须皮肤完整性与刺激风险评估及必要检查监测；计划与执行分开】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部位、双侧、汗液或气味及皮肤损伤实录的实见部分及黏膜全身】，检查【当时可知结果】。目前考虑【诊断及确定度】，实际治疗【真实执行】，本日重点观察【局限或泛发、严重度及继发性可能】，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多汗症臭汗症及其他汗腺病当前活动及真实治疗执行、短期反应】，关注【突发全身盗汗体重下降等需进一步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局灶典型多依临床，全身夜汗按线索查继发原因与形态对应、甲状腺等系统病、药物、感染、代谢及焦虑相关的鉴别及局限或泛发、严重度及继发性可能】，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多汗症臭汗症及其他汗腺病疑难证据及系统风险】，就【系统止汗类药风险及禁忌由医师核，不默认所有患者需要涉及的本例重大决策】提出【真实策略与条件】，长期重点【观察疗效、代偿出汗和局部不良反应，不能承诺永久消除】，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局限或泛发、严重度及继发性可能的真实变化及安全检查】，医师决定【实际药物或局部方案】由【原方案】调整为【新方案】，原因【证据】，当前处方及执行【分别状态】，监测【本例突发全身盗汗体重下降等需进一步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肉毒毒素、能量设备或手术须本院授权、剂量部位实录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突发全身盗汗体重下降等需进一步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诊疗经过：【局灶典型多依临床，全身夜汗按线索查继发原因的实际结果、药物操作及转归】</w:t>
        <w:br/>
        <w:t>出院诊断：【确定度与版本】</w:t>
        <w:br/>
        <w:t>出院情况：【当次皮损黏膜全身实查】</w:t>
        <w:br/>
        <w:t>医嘱和未决事项：【观察疗效、代偿出汗和局部不良反应，不能承诺永久消除中适用的确认方案及责任】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护理：【局部止汗及护理须皮肤完整性与刺激风险评估中已确认部分】</w:t>
        <w:br/>
        <w:t>复诊及监测：【本例实际项目时点责任】</w:t>
        <w:br/>
        <w:t>警示：【突发全身盗汗体重下降等需进一步评估中需要患者识别的事项】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长期随访：观察疗效、代偿出汗和局部不良反应，不能承诺永久消除。具体项目、复查频率和责任人来自已确认方案，不统一套固定周期。</w:t>
      </w:r>
    </w:p>
    <w:p>
      <w:pPr>
        <w:spacing w:after="100"/>
      </w:pPr>
      <w:r>
        <w:rPr>
          <w:rFonts w:ascii="Arial" w:hAnsi="Arial" w:eastAsia="宋体"/>
          <w:b w:val="0"/>
          <w:color w:val="000000"/>
          <w:sz w:val="21"/>
        </w:rPr>
        <w:t>31 最终质控：重点核对局灶典型多依临床，全身夜汗按线索查继发原因及局限或泛发、严重度及继发性可能；防止将典型表现当事实、风险当并发症、拟治疗当执行。查房层级与真实意见及代码框经10终审。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参考指南及版本：本组适用依据为R11、R12、R13、R26、R30、R32、R33，正式名称、机构、年份、适用范围、核验日期及核验限制见本文件参考章节。未核原表或说明书不补具体推荐。</w:t>
      </w:r>
    </w:p>
    <w:p>
      <w:bookmarkStart w:id="420" w:name="b420"/>
      <w:pPr>
        <w:pStyle w:val="Heading1"/>
      </w:pPr>
      <w:r>
        <w:t>真实性限制 常见错误与质控</w:t>
      </w:r>
      <w:bookmarkEnd w:id="420"/>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423" w:name="b423"/>
      <w:pPr>
        <w:pStyle w:val="Heading1"/>
      </w:pPr>
      <w:r>
        <w:t>模块协同与版本维护</w:t>
      </w:r>
      <w:bookmarkEnd w:id="423"/>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426" w:name="b426"/>
      <w:pPr>
        <w:pStyle w:val="Heading1"/>
      </w:pPr>
      <w:r>
        <w:t>参考指南及核验范围</w:t>
      </w:r>
      <w:bookmarkEnd w:id="426"/>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R11 寻常痤疮临床严重度分级及疗效评价中国专家共识（2025版）。发布机构：中国医师协会皮肤科医师分会痤疮学组等；年份或版本：2025；适用：寻常痤疮严重度与疗效评价；核验日期：2026-10-30。核验结果：中国医学科学院文献系统题录摘要可见；58卷8期，未核全文评分细则，禁止推填新版等级。</w:t>
      </w:r>
    </w:p>
    <w:p>
      <w:pPr>
        <w:spacing w:after="100"/>
      </w:pPr>
      <w:r>
        <w:rPr>
          <w:rFonts w:ascii="Arial" w:hAnsi="Arial" w:eastAsia="宋体"/>
          <w:b w:val="0"/>
          <w:color w:val="000000"/>
          <w:sz w:val="22"/>
        </w:rPr>
        <w:t>https:/​/​www.sinomed.ac.cn/​article.do?ui=2025487166</w:t>
      </w:r>
    </w:p>
    <w:p>
      <w:pPr>
        <w:spacing w:after="100"/>
      </w:pPr>
      <w:r>
        <w:rPr>
          <w:rFonts w:ascii="Arial" w:hAnsi="Arial" w:eastAsia="宋体"/>
          <w:b w:val="0"/>
          <w:color w:val="000000"/>
          <w:sz w:val="22"/>
        </w:rPr>
        <w:t>R12 中国玫瑰痤疮诊疗指南（2021版）。发布机构：中华医学会皮肤性病学分会玫瑰痤疮研究中心及中国医师协会相关委员会；年份或版本：2021；适用：面部玫瑰痤疮诊断与治疗；核验日期：2026-10-30。核验结果：原出版平台全文可见；2026版另列注册条目，不将注册视为正式推荐。</w:t>
      </w:r>
    </w:p>
    <w:p>
      <w:pPr>
        <w:spacing w:after="100"/>
      </w:pPr>
      <w:r>
        <w:rPr>
          <w:rFonts w:ascii="Arial" w:hAnsi="Arial" w:eastAsia="宋体"/>
          <w:b w:val="0"/>
          <w:color w:val="000000"/>
          <w:sz w:val="22"/>
        </w:rPr>
        <w:t>https:/​/​cmab.yiigle.com/​uploads/​guide_​html/​中国玫瑰痤疮诊疗指南（2021版） - 中华皮肤科杂志.html</w:t>
      </w:r>
    </w:p>
    <w:p>
      <w:pPr>
        <w:spacing w:after="100"/>
      </w:pPr>
      <w:r>
        <w:rPr>
          <w:rFonts w:ascii="Arial" w:hAnsi="Arial" w:eastAsia="宋体"/>
          <w:b w:val="0"/>
          <w:color w:val="000000"/>
          <w:sz w:val="22"/>
        </w:rPr>
        <w:t>R13 中国玫瑰痤疮诊疗指南（2026版）注册条目。发布机构：中南大学湘雅医院皮肤病医院等发起单位，非正式指南发布机构认定；年份或版本：2026；适用：版本监测；核验日期：2026-10-30。核验结果：PREPARE-2026CN599注册信息；本次未核到正式全文，不作诊疗推荐依据。</w:t>
      </w:r>
    </w:p>
    <w:p>
      <w:pPr>
        <w:spacing w:after="100"/>
      </w:pPr>
      <w:r>
        <w:rPr>
          <w:rFonts w:ascii="Arial" w:hAnsi="Arial" w:eastAsia="宋体"/>
          <w:b w:val="0"/>
          <w:color w:val="000000"/>
          <w:sz w:val="22"/>
        </w:rPr>
        <w:t>https:/​/​www.guidelines-registry.org/​guide/​dc3da130-e0c9-47f7-b385-fe75a123aa80</w:t>
      </w:r>
    </w:p>
    <w:p>
      <w:pPr>
        <w:spacing w:after="100"/>
      </w:pPr>
      <w:r>
        <w:rPr>
          <w:rFonts w:ascii="Arial" w:hAnsi="Arial" w:eastAsia="宋体"/>
          <w:b w:val="0"/>
          <w:color w:val="000000"/>
          <w:sz w:val="22"/>
        </w:rPr>
        <w:t>R26 中国甲真菌病诊疗指南（2021年版）。发布机构：甲真菌病指南专家工作组；年份或版本：版本2021 刊发2022；适用：甲真菌病分型诊断治疗；核验日期：2026-10-30。核验结果：2021版本正式题录可核；已另核到原期刊2026年版正式题录摘要R33，旧版不标最新。</w:t>
      </w:r>
    </w:p>
    <w:p>
      <w:pPr>
        <w:spacing w:after="100"/>
      </w:pPr>
      <w:r>
        <w:rPr>
          <w:rFonts w:ascii="Arial" w:hAnsi="Arial" w:eastAsia="宋体"/>
          <w:b w:val="0"/>
          <w:color w:val="000000"/>
          <w:sz w:val="22"/>
        </w:rPr>
        <w:t>https:/​/​cnki.istiz.org.cn/​kcms/​detail/​detail.aspx?dbcode=CJFQ&amp;dbname=CJFD2022&amp;filename=ZJXZ202201001</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pPr>
        <w:spacing w:after="100"/>
      </w:pPr>
      <w:r>
        <w:rPr>
          <w:rFonts w:ascii="Arial" w:hAnsi="Arial" w:eastAsia="宋体"/>
          <w:b w:val="0"/>
          <w:color w:val="000000"/>
          <w:sz w:val="22"/>
        </w:rPr>
        <w:t>R32 中国痤疮治疗指南（2019修订版）。发布机构：中国痤疮治疗指南专家组；年份或版本：2019；适用：痤疮临床治疗框架；核验日期：2026-10-30。核验结果：DOI对应正式题名已检索；2025严重度共识另列，不混用分级细则。</w:t>
      </w:r>
    </w:p>
    <w:p>
      <w:pPr>
        <w:spacing w:after="100"/>
      </w:pPr>
      <w:r>
        <w:rPr>
          <w:rFonts w:ascii="Arial" w:hAnsi="Arial" w:eastAsia="宋体"/>
          <w:b w:val="0"/>
          <w:color w:val="000000"/>
          <w:sz w:val="22"/>
        </w:rPr>
        <w:t>https:/​/​doi.org/​10.16761/​j.cnki.1000-4963.2019.09.020</w:t>
      </w:r>
    </w:p>
    <w:p>
      <w:pPr>
        <w:spacing w:after="100"/>
      </w:pPr>
      <w:r>
        <w:rPr>
          <w:rFonts w:ascii="Arial" w:hAnsi="Arial" w:eastAsia="宋体"/>
          <w:b w:val="0"/>
          <w:color w:val="000000"/>
          <w:sz w:val="22"/>
        </w:rPr>
        <w:t>R33 中国甲真菌病临床诊疗指南（2026年版）。发布机构：中国甲真菌病临床诊疗指南工作组及中国人体健康科技促进会皮肤病专业委员会；年份或版本：2026；适用：甲真菌病临床诊断治疗和特殊人群；核验日期：2026-10-30。核验结果：原期刊出版平台2026年第4期题录摘要已核；全文未完整核读，不录具体药量及推荐等级。</w:t>
      </w:r>
    </w:p>
    <w:p>
      <w:pPr>
        <w:spacing w:after="100"/>
      </w:pPr>
      <w:r>
        <w:rPr>
          <w:rFonts w:ascii="Arial" w:hAnsi="Arial" w:eastAsia="宋体"/>
          <w:b w:val="0"/>
          <w:color w:val="000000"/>
          <w:sz w:val="22"/>
        </w:rPr>
        <w:t>https:/​/​zjxz.cbpt.cnki.net/​portal/​journal/​portal/​client/​paper_​list/​type_​benqi</w:t>
      </w:r>
    </w:p>
    <w:p>
      <w:bookmarkStart w:id="442" w:name="b442"/>
      <w:pPr>
        <w:pStyle w:val="Heading1"/>
      </w:pPr>
      <w:r>
        <w:t>虚构病例示例</w:t>
      </w:r>
      <w:bookmarkEnd w:id="442"/>
    </w:p>
    <w:p>
      <w:pPr>
        <w:spacing w:after="100"/>
      </w:pPr>
      <w:r>
        <w:rPr>
          <w:rFonts w:ascii="Arial" w:hAnsi="Arial" w:eastAsia="宋体"/>
          <w:b w:val="0"/>
          <w:color w:val="000000"/>
          <w:sz w:val="22"/>
        </w:rPr>
        <w:t>以下病例完全虚构，仅供规则演示，不得导入真实病例。患者TEST105、住院E01，日期2026年10月30日，事实限定如下。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面部粉刺、丘疹脓疱及2个结节，未提供2025评分表或既往系统治疗。临床表型支持痤疮，结节提示瘢痕风险，尚不能凭不明分级体系填新版严重度或异维A酸已用。</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105_痤疮玫瑰痤疮毛发甲病及皮肤附属器疾病模板库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