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0"/>
      </w:pPr>
      <w:r>
        <w:rPr>
          <w:rFonts w:ascii="Arial" w:hAnsi="Arial" w:eastAsia="宋体"/>
          <w:b/>
          <w:color w:val="000000"/>
          <w:sz w:val="44"/>
        </w:rPr>
        <w:t>107 白癜风色素障碍遗传性及儿童特殊皮肤病模板库</w:t>
      </w:r>
    </w:p>
    <w:p>
      <w:pPr>
        <w:pStyle w:val="Subtitle"/>
        <w:spacing w:after="100"/>
      </w:pPr>
      <w:r>
        <w:rPr>
          <w:rFonts w:ascii="Arial" w:hAnsi="Arial" w:eastAsia="宋体"/>
          <w:b w:val="0"/>
          <w:color w:val="000000"/>
          <w:sz w:val="22"/>
        </w:rPr>
        <w:t>皮肤科AI病历书写系统 V1.0</w:t>
      </w:r>
    </w:p>
    <w:p>
      <w:pPr>
        <w:spacing w:after="100"/>
      </w:pPr>
      <w:r>
        <w:rPr>
          <w:rFonts w:ascii="Arial" w:hAnsi="Arial" w:eastAsia="宋体"/>
          <w:b w:val="0"/>
          <w:color w:val="000000"/>
          <w:sz w:val="22"/>
        </w:rPr>
        <w:t>文件编号 107    所属层级 专病层</w:t>
      </w:r>
    </w:p>
    <w:p>
      <w:pPr>
        <w:spacing w:after="100"/>
      </w:pPr>
      <w:r>
        <w:rPr>
          <w:rFonts w:ascii="Arial" w:hAnsi="Arial" w:eastAsia="宋体"/>
          <w:b w:val="0"/>
          <w:color w:val="000000"/>
          <w:sz w:val="22"/>
        </w:rPr>
        <w:t>编制与检索截止 2026年10月30日</w:t>
      </w:r>
    </w:p>
    <w:p>
      <w:pPr>
        <w:spacing w:after="100"/>
      </w:pPr>
      <w:r>
        <w:rPr>
          <w:rFonts w:ascii="Arial" w:hAnsi="Arial" w:eastAsia="宋体"/>
          <w:b w:val="0"/>
          <w:color w:val="000000"/>
          <w:sz w:val="22"/>
        </w:rPr>
        <w:t>用途 真实病例文书辅助拟稿 连续记录及医师质控</w:t>
      </w:r>
    </w:p>
    <w:p>
      <w:pPr>
        <w:spacing w:after="100"/>
      </w:pPr>
      <w:r>
        <w:rPr>
          <w:rFonts w:ascii="Arial" w:hAnsi="Arial" w:eastAsia="宋体"/>
          <w:b w:val="0"/>
          <w:color w:val="000000"/>
          <w:sz w:val="22"/>
        </w:rPr>
        <w:t>责任边界 本规则库不替代实际诊断 治疗 操作 知情同意及医师签名</w:t>
      </w:r>
    </w:p>
    <w:p>
      <w:pPr>
        <w:spacing w:after="100"/>
      </w:pPr>
      <w:r>
        <w:rPr>
          <w:rFonts w:ascii="Arial" w:hAnsi="Arial" w:eastAsia="宋体"/>
          <w:b w:val="0"/>
          <w:color w:val="000000"/>
          <w:sz w:val="22"/>
        </w:rPr>
        <w:t>本模块涵盖白癜风色素障碍遗传性及儿童特殊皮肤病模板库。使用时先核患者及本次住院、真实证据与执行状态，再按任务读取相关章节。</w:t>
      </w:r>
    </w:p>
    <w:p>
      <w:pPr>
        <w:spacing w:after="100"/>
      </w:pPr>
      <w:r>
        <w:rPr>
          <w:rFonts w:ascii="Arial" w:hAnsi="Arial" w:eastAsia="宋体"/>
          <w:b w:val="0"/>
          <w:color w:val="000000"/>
          <w:sz w:val="22"/>
        </w:rPr>
        <w:t>指南核验范围和测试边界均在正文列明；模板变量和虚构病例不得复制进真实病历。</w:t>
      </w:r>
    </w:p>
    <w:p>
      <w:r>
        <w:br w:type="page"/>
      </w:r>
    </w:p>
    <w:p>
      <w:pPr>
        <w:pStyle w:val="Heading1"/>
      </w:pPr>
      <w:r>
        <w:t>目录</w:t>
      </w:r>
    </w:p>
    <w:p>
      <w:pPr>
        <w:spacing w:after="40"/>
        <w:ind w:left="0"/>
      </w:pPr>
      <w:hyperlink w:anchor="b0">
        <w:r>
          <w:rPr>
            <w:sz w:val="20"/>
          </w:rPr>
          <w:t>模块使用说明</w:t>
        </w:r>
      </w:hyperlink>
    </w:p>
    <w:p>
      <w:pPr>
        <w:spacing w:after="40"/>
        <w:ind w:left="0"/>
      </w:pPr>
      <w:hyperlink w:anchor="b4">
        <w:r>
          <w:rPr>
            <w:sz w:val="20"/>
          </w:rPr>
          <w:t>正式医学文书输出规范</w:t>
        </w:r>
      </w:hyperlink>
    </w:p>
    <w:p>
      <w:pPr>
        <w:spacing w:after="40"/>
        <w:ind w:left="0"/>
      </w:pPr>
      <w:hyperlink w:anchor="b7">
        <w:r>
          <w:rPr>
            <w:sz w:val="20"/>
          </w:rPr>
          <w:t>疾病覆盖与分支调用</w:t>
        </w:r>
      </w:hyperlink>
    </w:p>
    <w:p>
      <w:pPr>
        <w:spacing w:after="40"/>
        <w:ind w:left="0"/>
      </w:pPr>
      <w:hyperlink w:anchor="b29">
        <w:r>
          <w:rPr>
            <w:sz w:val="20"/>
          </w:rPr>
          <w:t>亚型及特殊情境的差异化规则</w:t>
        </w:r>
      </w:hyperlink>
    </w:p>
    <w:p>
      <w:pPr>
        <w:spacing w:after="40"/>
        <w:ind w:left="230"/>
      </w:pPr>
      <w:hyperlink w:anchor="b34">
        <w:r>
          <w:rPr>
            <w:sz w:val="20"/>
          </w:rPr>
          <w:t>01 白癜风及节段非节段型</w:t>
        </w:r>
      </w:hyperlink>
    </w:p>
    <w:p>
      <w:pPr>
        <w:spacing w:after="40"/>
        <w:ind w:left="230"/>
      </w:pPr>
      <w:hyperlink w:anchor="b77">
        <w:r>
          <w:rPr>
            <w:sz w:val="20"/>
          </w:rPr>
          <w:t>02 炎症后色素沉着及减退</w:t>
        </w:r>
      </w:hyperlink>
    </w:p>
    <w:p>
      <w:pPr>
        <w:spacing w:after="40"/>
        <w:ind w:left="230"/>
      </w:pPr>
      <w:hyperlink w:anchor="b120">
        <w:r>
          <w:rPr>
            <w:sz w:val="20"/>
          </w:rPr>
          <w:t>03 黄褐斑雀斑及其他色素异常</w:t>
        </w:r>
      </w:hyperlink>
    </w:p>
    <w:p>
      <w:pPr>
        <w:spacing w:after="40"/>
        <w:ind w:left="230"/>
      </w:pPr>
      <w:hyperlink w:anchor="b163">
        <w:r>
          <w:rPr>
            <w:sz w:val="20"/>
          </w:rPr>
          <w:t>04 先天性色素病及遗传性角化异常</w:t>
        </w:r>
      </w:hyperlink>
    </w:p>
    <w:p>
      <w:pPr>
        <w:spacing w:after="40"/>
        <w:ind w:left="230"/>
      </w:pPr>
      <w:hyperlink w:anchor="b206">
        <w:r>
          <w:rPr>
            <w:sz w:val="20"/>
          </w:rPr>
          <w:t>05 遗传性大疱性表皮松解症</w:t>
        </w:r>
      </w:hyperlink>
    </w:p>
    <w:p>
      <w:pPr>
        <w:spacing w:after="40"/>
        <w:ind w:left="230"/>
      </w:pPr>
      <w:hyperlink w:anchor="b249">
        <w:r>
          <w:rPr>
            <w:sz w:val="20"/>
          </w:rPr>
          <w:t>06 鱼鳞病及其他遗传性皮肤病</w:t>
        </w:r>
      </w:hyperlink>
    </w:p>
    <w:p>
      <w:pPr>
        <w:spacing w:after="40"/>
        <w:ind w:left="230"/>
      </w:pPr>
      <w:hyperlink w:anchor="b292">
        <w:r>
          <w:rPr>
            <w:sz w:val="20"/>
          </w:rPr>
          <w:t>07 儿童特应性皮炎及儿童感染</w:t>
        </w:r>
      </w:hyperlink>
    </w:p>
    <w:p>
      <w:pPr>
        <w:spacing w:after="40"/>
        <w:ind w:left="230"/>
      </w:pPr>
      <w:hyperlink w:anchor="b335">
        <w:r>
          <w:rPr>
            <w:sz w:val="20"/>
          </w:rPr>
          <w:t>08 老年特殊皮肤病</w:t>
        </w:r>
      </w:hyperlink>
    </w:p>
    <w:p>
      <w:pPr>
        <w:spacing w:after="40"/>
        <w:ind w:left="230"/>
      </w:pPr>
      <w:hyperlink w:anchor="b378">
        <w:r>
          <w:rPr>
            <w:sz w:val="20"/>
          </w:rPr>
          <w:t>09 妊娠相关皮肤病及罕见病待查</w:t>
        </w:r>
      </w:hyperlink>
    </w:p>
    <w:p>
      <w:pPr>
        <w:spacing w:after="40"/>
        <w:ind w:left="0"/>
      </w:pPr>
      <w:hyperlink w:anchor="b421">
        <w:r>
          <w:rPr>
            <w:sz w:val="20"/>
          </w:rPr>
          <w:t>真实性限制 常见错误与质控</w:t>
        </w:r>
      </w:hyperlink>
    </w:p>
    <w:p>
      <w:pPr>
        <w:spacing w:after="40"/>
        <w:ind w:left="0"/>
      </w:pPr>
      <w:hyperlink w:anchor="b424">
        <w:r>
          <w:rPr>
            <w:sz w:val="20"/>
          </w:rPr>
          <w:t>模块协同与版本维护</w:t>
        </w:r>
      </w:hyperlink>
    </w:p>
    <w:p>
      <w:pPr>
        <w:spacing w:after="40"/>
        <w:ind w:left="0"/>
      </w:pPr>
      <w:hyperlink w:anchor="b427">
        <w:r>
          <w:rPr>
            <w:sz w:val="20"/>
          </w:rPr>
          <w:t>参考指南及核验范围</w:t>
        </w:r>
      </w:hyperlink>
    </w:p>
    <w:p>
      <w:pPr>
        <w:spacing w:after="40"/>
        <w:ind w:left="0"/>
      </w:pPr>
      <w:hyperlink w:anchor="b439">
        <w:r>
          <w:rPr>
            <w:sz w:val="20"/>
          </w:rPr>
          <w:t>虚构病例示例</w:t>
        </w:r>
      </w:hyperlink>
    </w:p>
    <w:p>
      <w:r>
        <w:br w:type="page"/>
      </w:r>
    </w:p>
    <w:p>
      <w:bookmarkStart w:id="0" w:name="b0"/>
      <w:pPr>
        <w:pStyle w:val="Heading1"/>
      </w:pPr>
      <w:r>
        <w:t>模块使用说明</w:t>
      </w:r>
      <w:bookmarkEnd w:id="0"/>
    </w:p>
    <w:p>
      <w:pPr>
        <w:spacing w:after="100"/>
      </w:pPr>
      <w:r>
        <w:rPr>
          <w:rFonts w:ascii="Arial" w:hAnsi="Arial" w:eastAsia="宋体"/>
          <w:b w:val="0"/>
          <w:color w:val="000000"/>
          <w:sz w:val="22"/>
        </w:rPr>
        <w:t>功能定位：本组疾病证据分析、连续病程及治疗随访模板。本库服务中国医院普通皮肤病房、重症、皮肤外科、治疗室及皮肤性病临床，由具有权限的医师审核拟稿。</w:t>
      </w:r>
    </w:p>
    <w:p>
      <w:pPr>
        <w:spacing w:after="100"/>
      </w:pPr>
      <w:r>
        <w:rPr>
          <w:rFonts w:ascii="Arial" w:hAnsi="Arial" w:eastAsia="宋体"/>
          <w:b w:val="0"/>
          <w:color w:val="000000"/>
          <w:sz w:val="22"/>
        </w:rPr>
        <w:t>适用场景与自动调用：识别本组病种、鉴别或相关操作与随访。必要患者资料：核心病史、当次皮肤黏膜检查、必要真实检查及医师治疗意见。</w:t>
      </w:r>
    </w:p>
    <w:p>
      <w:pPr>
        <w:spacing w:after="100"/>
      </w:pPr>
      <w:r>
        <w:rPr>
          <w:rFonts w:ascii="Arial" w:hAnsi="Arial" w:eastAsia="宋体"/>
          <w:b w:val="0"/>
          <w:color w:val="000000"/>
          <w:sz w:val="22"/>
        </w:rPr>
        <w:t>事实必须绑定patient_id、encounter_id、lesion_id及适用的procedure_id/specimen_id，附事件时间、记录时间、来源及核验状态。患者自述、医师实查、普通照片可见内容、真实皮肤镜、病原学、组织病理、免疫荧光、自身抗体和临床综合判断分别保存。医学知识不是患者事实；未知不等于阴性；既往查体不等于今日查体。建议、拟定、已开医嘱、已执行、暂停、停用、恢复和取消分离。不得补造身份、皮损、触诊、评分、检查、操作参数、药量、疗效、并发症、沟通、到场查房或签名。</w:t>
      </w:r>
    </w:p>
    <w:p>
      <w:bookmarkStart w:id="4" w:name="b4"/>
      <w:pPr>
        <w:pStyle w:val="Heading1"/>
      </w:pPr>
      <w:r>
        <w:t>正式医学文书输出规范</w:t>
      </w:r>
      <w:bookmarkEnd w:id="4"/>
    </w:p>
    <w:p>
      <w:pPr>
        <w:spacing w:after="100"/>
      </w:pPr>
      <w:r>
        <w:rPr>
          <w:rFonts w:ascii="Arial" w:hAnsi="Arial" w:eastAsia="宋体"/>
          <w:b w:val="0"/>
          <w:color w:val="000000"/>
          <w:sz w:val="22"/>
        </w:rPr>
        <w:t>所有正式医学文书正文使用Markdown text代码框。文书日期、时间、标题及医师姓名和职称组成的查房标题均位于代码框外；代码框内只放实际医学文书正文，不重复题头日期标题，不加AI前言、推理过程或无关备注。日常病程及主治、副主任、主任查房正文连续写成完整一整段，不分条、不留空行、不插入多余空格，不因格式遗漏必要内容。入院、首次病程、手术、讨论、抢救和出院等有固定栏目要求的文书可保留必要结构。抢救及用药等临床事件时间属于事实，须在正文保留。正式文书不得出现未替换占位符；关键事实缺失须在框外提示核实并阻断受影响的净稿。禁止出现“根据昨天的病程”“结合前一天的检查”“根据用户上传的图片”“AI分析认为”；历史检查直接注明真实检查日期。本库【字段】均为编写模板变量，虚构病例仅供测试，二者不得导入真实患者事实。</w:t>
      </w:r>
    </w:p>
    <w:p>
      <w:pPr>
        <w:spacing w:after="100"/>
      </w:pPr>
      <w:r>
        <w:rPr>
          <w:rFonts w:ascii="Arial" w:hAnsi="Arial" w:eastAsia="宋体"/>
          <w:b w:val="0"/>
          <w:color w:val="000000"/>
          <w:sz w:val="22"/>
        </w:rPr>
        <w:t>运行边界：这是可供AI读取的Word规则库，未连接医院电子病历、患者数据库或后台调度。自动调用是执行协议，须实际读取相应模块；不声称跨会话保存病历。不代替现场诊断、处方、操作授权、实际知情同意或医师签名。</w:t>
      </w:r>
    </w:p>
    <w:p>
      <w:bookmarkStart w:id="7" w:name="b7"/>
      <w:pPr>
        <w:pStyle w:val="Heading1"/>
      </w:pPr>
      <w:r>
        <w:t>疾病覆盖与分支调用</w:t>
      </w:r>
      <w:bookmarkEnd w:id="7"/>
    </w:p>
    <w:p>
      <w:pPr>
        <w:spacing w:after="100"/>
      </w:pPr>
      <w:r>
        <w:rPr>
          <w:rFonts w:ascii="Arial" w:hAnsi="Arial" w:eastAsia="宋体"/>
          <w:b w:val="0"/>
          <w:color w:val="000000"/>
          <w:sz w:val="22"/>
        </w:rPr>
        <w:t>本组所有病名和管理分支如下。核心疾病按后文32项展开，近缘亚型沿相应核心病种并追加本索引的限制；不需要皮肤镜、活检、系统治疗或手术者按具体病种说明，不强套。</w:t>
      </w:r>
    </w:p>
    <w:p>
      <w:pPr>
        <w:spacing w:after="100"/>
      </w:pPr>
      <w:r>
        <w:rPr>
          <w:rFonts w:ascii="Arial" w:hAnsi="Arial" w:eastAsia="宋体"/>
          <w:b w:val="0"/>
          <w:color w:val="000000"/>
          <w:sz w:val="22"/>
        </w:rPr>
        <w:t>白癜风：先检索“白癜风及节段非节段型”及对应形态证据；以本例部位、年龄、阶段和证据决定分支，不从此目录直接生成诊断。</w:t>
      </w:r>
    </w:p>
    <w:p>
      <w:pPr>
        <w:spacing w:after="100"/>
      </w:pPr>
      <w:r>
        <w:rPr>
          <w:rFonts w:ascii="Arial" w:hAnsi="Arial" w:eastAsia="宋体"/>
          <w:b w:val="0"/>
          <w:color w:val="000000"/>
          <w:sz w:val="22"/>
        </w:rPr>
        <w:t>节段型白癜风：先检索“白癜风及节段非节段型”及对应形态证据；以本例部位、年龄、阶段和证据决定分支，不从此目录直接生成诊断。</w:t>
      </w:r>
    </w:p>
    <w:p>
      <w:pPr>
        <w:spacing w:after="100"/>
      </w:pPr>
      <w:r>
        <w:rPr>
          <w:rFonts w:ascii="Arial" w:hAnsi="Arial" w:eastAsia="宋体"/>
          <w:b w:val="0"/>
          <w:color w:val="000000"/>
          <w:sz w:val="22"/>
        </w:rPr>
        <w:t>非节段型白癜风：先检索“白癜风及节段非节段型”及对应形态证据；以本例部位、年龄、阶段和证据决定分支，不从此目录直接生成诊断。</w:t>
      </w:r>
    </w:p>
    <w:p>
      <w:pPr>
        <w:spacing w:after="100"/>
      </w:pPr>
      <w:r>
        <w:rPr>
          <w:rFonts w:ascii="Arial" w:hAnsi="Arial" w:eastAsia="宋体"/>
          <w:b w:val="0"/>
          <w:color w:val="000000"/>
          <w:sz w:val="22"/>
        </w:rPr>
        <w:t>白癜风活动度评估：先检索“白癜风及节段非节段型”及对应形态证据；以本例部位、年龄、阶段和证据决定分支，不从此目录直接生成诊断。</w:t>
      </w:r>
    </w:p>
    <w:p>
      <w:pPr>
        <w:spacing w:after="100"/>
      </w:pPr>
      <w:r>
        <w:rPr>
          <w:rFonts w:ascii="Arial" w:hAnsi="Arial" w:eastAsia="宋体"/>
          <w:b w:val="0"/>
          <w:color w:val="000000"/>
          <w:sz w:val="22"/>
        </w:rPr>
        <w:t>炎症后色素沉着：先检索“炎症后色素沉着及减退”及对应形态证据；以本例部位、年龄、阶段和证据决定分支，不从此目录直接生成诊断。</w:t>
      </w:r>
    </w:p>
    <w:p>
      <w:pPr>
        <w:spacing w:after="100"/>
      </w:pPr>
      <w:r>
        <w:rPr>
          <w:rFonts w:ascii="Arial" w:hAnsi="Arial" w:eastAsia="宋体"/>
          <w:b w:val="0"/>
          <w:color w:val="000000"/>
          <w:sz w:val="22"/>
        </w:rPr>
        <w:t>炎症后色素减退：先检索“炎症后色素沉着及减退”及对应形态证据；以本例部位、年龄、阶段和证据决定分支，不从此目录直接生成诊断。</w:t>
      </w:r>
    </w:p>
    <w:p>
      <w:pPr>
        <w:spacing w:after="100"/>
      </w:pPr>
      <w:r>
        <w:rPr>
          <w:rFonts w:ascii="Arial" w:hAnsi="Arial" w:eastAsia="宋体"/>
          <w:b w:val="0"/>
          <w:color w:val="000000"/>
          <w:sz w:val="22"/>
        </w:rPr>
        <w:t>黄褐斑：先检索“妊娠相关皮肤病及罕见病待查”及对应形态证据；以本例部位、年龄、阶段和证据决定分支，不从此目录直接生成诊断。</w:t>
      </w:r>
    </w:p>
    <w:p>
      <w:pPr>
        <w:spacing w:after="100"/>
      </w:pPr>
      <w:r>
        <w:rPr>
          <w:rFonts w:ascii="Arial" w:hAnsi="Arial" w:eastAsia="宋体"/>
          <w:b w:val="0"/>
          <w:color w:val="000000"/>
          <w:sz w:val="22"/>
        </w:rPr>
        <w:t>雀斑及其他色素异常：先检索“黄褐斑雀斑及其他色素异常”及对应形态证据；以本例部位、年龄、阶段和证据决定分支，不从此目录直接生成诊断。</w:t>
      </w:r>
    </w:p>
    <w:p>
      <w:pPr>
        <w:spacing w:after="100"/>
      </w:pPr>
      <w:r>
        <w:rPr>
          <w:rFonts w:ascii="Arial" w:hAnsi="Arial" w:eastAsia="宋体"/>
          <w:b w:val="0"/>
          <w:color w:val="000000"/>
          <w:sz w:val="22"/>
        </w:rPr>
        <w:t>先天性色素性疾病：先检索“妊娠相关皮肤病及罕见病待查”及对应形态证据；以本例部位、年龄、阶段和证据决定分支，不从此目录直接生成诊断。</w:t>
      </w:r>
    </w:p>
    <w:p>
      <w:pPr>
        <w:spacing w:after="100"/>
      </w:pPr>
      <w:r>
        <w:rPr>
          <w:rFonts w:ascii="Arial" w:hAnsi="Arial" w:eastAsia="宋体"/>
          <w:b w:val="0"/>
          <w:color w:val="000000"/>
          <w:sz w:val="22"/>
        </w:rPr>
        <w:t>遗传性角化异常：先检索“先天性色素病及遗传性角化异常”及对应形态证据；以本例部位、年龄、阶段和证据决定分支，不从此目录直接生成诊断。</w:t>
      </w:r>
    </w:p>
    <w:p>
      <w:pPr>
        <w:spacing w:after="100"/>
      </w:pPr>
      <w:r>
        <w:rPr>
          <w:rFonts w:ascii="Arial" w:hAnsi="Arial" w:eastAsia="宋体"/>
          <w:b w:val="0"/>
          <w:color w:val="000000"/>
          <w:sz w:val="22"/>
        </w:rPr>
        <w:t>遗传性大疱性表皮松解症：先检索“遗传性大疱性表皮松解症”及对应形态证据；以本例部位、年龄、阶段和证据决定分支，不从此目录直接生成诊断。</w:t>
      </w:r>
    </w:p>
    <w:p>
      <w:pPr>
        <w:spacing w:after="100"/>
      </w:pPr>
      <w:r>
        <w:rPr>
          <w:rFonts w:ascii="Arial" w:hAnsi="Arial" w:eastAsia="宋体"/>
          <w:b w:val="0"/>
          <w:color w:val="000000"/>
          <w:sz w:val="22"/>
        </w:rPr>
        <w:t>鱼鳞病：先检索“鱼鳞病及其他遗传性皮肤病”及对应形态证据；以本例部位、年龄、阶段和证据决定分支，不从此目录直接生成诊断。</w:t>
      </w:r>
    </w:p>
    <w:p>
      <w:pPr>
        <w:spacing w:after="100"/>
      </w:pPr>
      <w:r>
        <w:rPr>
          <w:rFonts w:ascii="Arial" w:hAnsi="Arial" w:eastAsia="宋体"/>
          <w:b w:val="0"/>
          <w:color w:val="000000"/>
          <w:sz w:val="22"/>
        </w:rPr>
        <w:t>其他遗传性皮肤病：先检索“鱼鳞病及其他遗传性皮肤病”及对应形态证据；以本例部位、年龄、阶段和证据决定分支，不从此目录直接生成诊断。</w:t>
      </w:r>
    </w:p>
    <w:p>
      <w:pPr>
        <w:spacing w:after="100"/>
      </w:pPr>
      <w:r>
        <w:rPr>
          <w:rFonts w:ascii="Arial" w:hAnsi="Arial" w:eastAsia="宋体"/>
          <w:b w:val="0"/>
          <w:color w:val="000000"/>
          <w:sz w:val="22"/>
        </w:rPr>
        <w:t>儿童特应性皮炎：先检索“儿童特应性皮炎及儿童感染”及对应形态证据；儿童或妊娠联合107；以本例部位、年龄、阶段和证据决定分支，不从此目录直接生成诊断。</w:t>
      </w:r>
    </w:p>
    <w:p>
      <w:pPr>
        <w:spacing w:after="100"/>
      </w:pPr>
      <w:r>
        <w:rPr>
          <w:rFonts w:ascii="Arial" w:hAnsi="Arial" w:eastAsia="宋体"/>
          <w:b w:val="0"/>
          <w:color w:val="000000"/>
          <w:sz w:val="22"/>
        </w:rPr>
        <w:t>儿童感染性皮肤病：先检索“儿童特应性皮炎及儿童感染”及对应形态证据；儿童或妊娠联合107；以本例部位、年龄、阶段和证据决定分支，不从此目录直接生成诊断。</w:t>
      </w:r>
    </w:p>
    <w:p>
      <w:pPr>
        <w:spacing w:after="100"/>
      </w:pPr>
      <w:r>
        <w:rPr>
          <w:rFonts w:ascii="Arial" w:hAnsi="Arial" w:eastAsia="宋体"/>
          <w:b w:val="0"/>
          <w:color w:val="000000"/>
          <w:sz w:val="22"/>
        </w:rPr>
        <w:t>儿童特殊皮损：先检索“妊娠相关皮肤病及罕见病待查”及对应形态证据；儿童或妊娠联合107；以本例部位、年龄、阶段和证据决定分支，不从此目录直接生成诊断。</w:t>
      </w:r>
    </w:p>
    <w:p>
      <w:pPr>
        <w:spacing w:after="100"/>
      </w:pPr>
      <w:r>
        <w:rPr>
          <w:rFonts w:ascii="Arial" w:hAnsi="Arial" w:eastAsia="宋体"/>
          <w:b w:val="0"/>
          <w:color w:val="000000"/>
          <w:sz w:val="22"/>
        </w:rPr>
        <w:t>婴幼儿皮肤屏障疾病：先检索“妊娠相关皮肤病及罕见病待查”及对应形态证据；以本例部位、年龄、阶段和证据决定分支，不从此目录直接生成诊断。</w:t>
      </w:r>
    </w:p>
    <w:p>
      <w:pPr>
        <w:spacing w:after="100"/>
      </w:pPr>
      <w:r>
        <w:rPr>
          <w:rFonts w:ascii="Arial" w:hAnsi="Arial" w:eastAsia="宋体"/>
          <w:b w:val="0"/>
          <w:color w:val="000000"/>
          <w:sz w:val="22"/>
        </w:rPr>
        <w:t>老年特殊皮肤病：先检索“老年特殊皮肤病”及对应形态证据；以本例部位、年龄、阶段和证据决定分支，不从此目录直接生成诊断。</w:t>
      </w:r>
    </w:p>
    <w:p>
      <w:pPr>
        <w:spacing w:after="100"/>
      </w:pPr>
      <w:r>
        <w:rPr>
          <w:rFonts w:ascii="Arial" w:hAnsi="Arial" w:eastAsia="宋体"/>
          <w:b w:val="0"/>
          <w:color w:val="000000"/>
          <w:sz w:val="22"/>
        </w:rPr>
        <w:t>妊娠相关皮肤病：先检索“妊娠相关皮肤病及罕见病待查”及对应形态证据；儿童或妊娠联合107；以本例部位、年龄、阶段和证据决定分支，不从此目录直接生成诊断。</w:t>
      </w:r>
    </w:p>
    <w:p>
      <w:pPr>
        <w:spacing w:after="100"/>
      </w:pPr>
      <w:r>
        <w:rPr>
          <w:rFonts w:ascii="Arial" w:hAnsi="Arial" w:eastAsia="宋体"/>
          <w:b w:val="0"/>
          <w:color w:val="000000"/>
          <w:sz w:val="22"/>
        </w:rPr>
        <w:t>其他罕见皮肤疾病：先检索“妊娠相关皮肤病及罕见病待查”及对应形态证据；以本例部位、年龄、阶段和证据决定分支，不从此目录直接生成诊断。</w:t>
      </w:r>
    </w:p>
    <w:p>
      <w:bookmarkStart w:id="29" w:name="b29"/>
      <w:pPr>
        <w:pStyle w:val="Heading1"/>
      </w:pPr>
      <w:r>
        <w:t>亚型及特殊情境的差异化规则</w:t>
      </w:r>
      <w:bookmarkEnd w:id="29"/>
    </w:p>
    <w:p>
      <w:pPr>
        <w:spacing w:after="100"/>
      </w:pPr>
      <w:r>
        <w:rPr>
          <w:rFonts w:ascii="Arial" w:hAnsi="Arial" w:eastAsia="宋体"/>
          <w:b w:val="0"/>
          <w:color w:val="000000"/>
          <w:sz w:val="22"/>
        </w:rPr>
        <w:t>儿童特殊皮损与婴儿屏障病：新生儿感染、血管性病变、先天缺损及营养免疫相关皮损按具体形态与病史分流；不能仅因“儿童”把全部皮炎诊AD。发热低体温、嗜睡、进食差、广泛疱糜烂先现场评估。</w:t>
      </w:r>
    </w:p>
    <w:p>
      <w:pPr>
        <w:spacing w:after="100"/>
      </w:pPr>
      <w:r>
        <w:rPr>
          <w:rFonts w:ascii="Arial" w:hAnsi="Arial" w:eastAsia="宋体"/>
          <w:b w:val="0"/>
          <w:color w:val="000000"/>
          <w:sz w:val="22"/>
        </w:rPr>
        <w:t>白癜风稳定与活动：稳定需真实纵向无新发扩展等病史和检查，不凭一张清楚边界照片认稳定；节段型也可活动，非节段型也可稳定。拟移植需专科稳定性条件与适应证，不以时间到了自动许可。</w:t>
      </w:r>
    </w:p>
    <w:p>
      <w:pPr>
        <w:spacing w:after="100"/>
      </w:pPr>
      <w:r>
        <w:rPr>
          <w:rFonts w:ascii="Arial" w:hAnsi="Arial" w:eastAsia="宋体"/>
          <w:b w:val="0"/>
          <w:color w:val="000000"/>
          <w:sz w:val="22"/>
        </w:rPr>
        <w:t>先天遗传及罕见病证据：临床表型、家族史、基因检测结果和变异致病性分别记录；意义未明变异不等分子确诊。必要多科及遗传咨询据实，不能从患者亲属病史推断遗传方式或生育结论。</w:t>
      </w:r>
    </w:p>
    <w:p>
      <w:pPr>
        <w:spacing w:after="100"/>
      </w:pPr>
      <w:r>
        <w:rPr>
          <w:rFonts w:ascii="Arial" w:hAnsi="Arial" w:eastAsia="宋体"/>
          <w:b w:val="0"/>
          <w:color w:val="000000"/>
          <w:sz w:val="22"/>
        </w:rPr>
        <w:t>妊娠相关及其他特殊人群：妊娠瘙痒需区分原发皮损和仅搔抓，胆汁淤积与妊娠类天疱疮等由实际肝胆及免疫病理证据评估；母胎状态与孕周为独立必核字段。老年新发顽固瘙痒需考虑BP等而非统一干燥。</w:t>
      </w:r>
    </w:p>
    <w:p>
      <w:bookmarkStart w:id="34" w:name="b34"/>
      <w:pPr>
        <w:pStyle w:val="Heading2"/>
      </w:pPr>
      <w:r>
        <w:t>01 白癜风及节段非节段型</w:t>
      </w:r>
      <w:bookmarkEnd w:id="34"/>
    </w:p>
    <w:p>
      <w:pPr>
        <w:spacing w:after="100"/>
      </w:pPr>
      <w:r>
        <w:rPr>
          <w:rFonts w:ascii="Arial" w:hAnsi="Arial" w:eastAsia="宋体"/>
          <w:b w:val="0"/>
          <w:color w:val="000000"/>
          <w:sz w:val="21"/>
        </w:rPr>
        <w:t>01 疾病定义：获得性色素脱失性疾病，需与其他减色病变区分。该定义是专业知识，不能代替本例诊断。</w:t>
      </w:r>
    </w:p>
    <w:p>
      <w:pPr>
        <w:spacing w:after="100"/>
      </w:pPr>
      <w:r>
        <w:rPr>
          <w:rFonts w:ascii="Arial" w:hAnsi="Arial" w:eastAsia="宋体"/>
          <w:b w:val="0"/>
          <w:color w:val="000000"/>
          <w:sz w:val="21"/>
        </w:rPr>
        <w:t>02 病因及发病机制：围绕获得性色素脱失性疾病，需与其他减色病变区分采集相关线索；患者病因只写已核证据，未证实时保留可能性。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临床表现：症状、全身受累及变化按实际病史与检查；重点核实起病进展、新斑、外伤同形反应、家族及治疗。</w:t>
      </w:r>
    </w:p>
    <w:p>
      <w:pPr>
        <w:spacing w:after="100"/>
      </w:pPr>
      <w:r>
        <w:rPr>
          <w:rFonts w:ascii="Arial" w:hAnsi="Arial" w:eastAsia="宋体"/>
          <w:b w:val="0"/>
          <w:color w:val="000000"/>
          <w:sz w:val="21"/>
        </w:rPr>
        <w:t>04 典型皮损形态：界清脱色斑、毛发变白及分布按实见。典型性只用于鉴别，不自动添加到患者查体。</w:t>
      </w:r>
    </w:p>
    <w:p>
      <w:pPr>
        <w:spacing w:after="100"/>
      </w:pPr>
      <w:r>
        <w:rPr>
          <w:rFonts w:ascii="Arial" w:hAnsi="Arial" w:eastAsia="宋体"/>
          <w:b w:val="0"/>
          <w:color w:val="000000"/>
          <w:sz w:val="21"/>
        </w:rPr>
        <w:t>05 皮损部位及分布：逐病灶记录界清脱色斑、毛发变白及分布按实见涉及的实际部位侧别、数量排列对称和范围；不补“全身”。</w:t>
      </w:r>
    </w:p>
    <w:p>
      <w:pPr>
        <w:spacing w:after="100"/>
      </w:pPr>
      <w:r>
        <w:rPr>
          <w:rFonts w:ascii="Arial" w:hAnsi="Arial" w:eastAsia="宋体"/>
          <w:b w:val="0"/>
          <w:color w:val="000000"/>
          <w:sz w:val="21"/>
        </w:rPr>
        <w:t>06 病史采集重点：起病进展、新斑、外伤同形反应、家族及治疗；保留发病与发现、首次与复发、用药计划与执行的差别。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专科检查：按03实查原发继发皮损、黏膜、毛发甲及必要触诊，围绕节段或非节段、活动或稳定需纵向病史；面积和VASI须变量记录而不强行检查无关项目。</w:t>
      </w:r>
    </w:p>
    <w:p>
      <w:pPr>
        <w:spacing w:after="100"/>
      </w:pPr>
      <w:r>
        <w:rPr>
          <w:rFonts w:ascii="Arial" w:hAnsi="Arial" w:eastAsia="宋体"/>
          <w:b w:val="0"/>
          <w:color w:val="000000"/>
          <w:sz w:val="21"/>
        </w:rPr>
        <w:t>08 实验室检查：临床结合Wood灯按实际；必要皮肤镜，不常规病理或基因确诊；检查项目按问题选择，未做不写正常。</w:t>
      </w:r>
    </w:p>
    <w:p>
      <w:pPr>
        <w:spacing w:after="100"/>
      </w:pPr>
      <w:r>
        <w:rPr>
          <w:rFonts w:ascii="Arial" w:hAnsi="Arial" w:eastAsia="宋体"/>
          <w:b w:val="0"/>
          <w:color w:val="000000"/>
          <w:sz w:val="21"/>
        </w:rPr>
        <w:t>09 皮肤镜或其他辅助检查：围绕临床结合Wood灯按实际；必要皮肤镜，不常规病理或基因确诊选择必要辅查；没有特定指征不常规添加皮肤镜，普通照不当镜图。</w:t>
      </w:r>
    </w:p>
    <w:p>
      <w:pPr>
        <w:spacing w:after="100"/>
      </w:pPr>
      <w:r>
        <w:rPr>
          <w:rFonts w:ascii="Arial" w:hAnsi="Arial" w:eastAsia="宋体"/>
          <w:b w:val="0"/>
          <w:color w:val="000000"/>
          <w:sz w:val="21"/>
        </w:rPr>
        <w:t>10 病理及免疫检查：光疗逐次剂量；移植类治疗需实际稳定期及专科条件评估。HE、DIF、IIF及抗体按实际诊断问题选择，非典型或疑难再评取材；无适应证不强制。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诊断标准：采用可核实的适用临床及专科体系，临床结合Wood灯按实际；必要皮肤镜，不常规病理或基因确诊；未核全文的评分标准不得凭题录复造。</w:t>
      </w:r>
    </w:p>
    <w:p>
      <w:pPr>
        <w:spacing w:after="100"/>
      </w:pPr>
      <w:r>
        <w:rPr>
          <w:rFonts w:ascii="Arial" w:hAnsi="Arial" w:eastAsia="宋体"/>
          <w:b w:val="0"/>
          <w:color w:val="000000"/>
          <w:sz w:val="21"/>
        </w:rPr>
        <w:t>12 诊断依据：逐条将实际界清脱色斑、毛发变白及分布按实见与临床结合Wood灯按实际；必要皮肤镜，不常规病理或基因确诊对应；写本例支持、反对及尚缺证据，保持疑似/初诊/确诊确定度。</w:t>
      </w:r>
    </w:p>
    <w:p>
      <w:pPr>
        <w:spacing w:after="100"/>
      </w:pPr>
      <w:r>
        <w:rPr>
          <w:rFonts w:ascii="Arial" w:hAnsi="Arial" w:eastAsia="宋体"/>
          <w:b w:val="0"/>
          <w:color w:val="000000"/>
          <w:sz w:val="21"/>
        </w:rPr>
        <w:t>13 鉴别诊断：炎症后减色、花斑癣、无色素痣及贫血痣。每项基于本例支持、反对和下一步验证，不机械写全部排除。</w:t>
      </w:r>
    </w:p>
    <w:p>
      <w:pPr>
        <w:spacing w:after="100"/>
      </w:pPr>
      <w:r>
        <w:rPr>
          <w:rFonts w:ascii="Arial" w:hAnsi="Arial" w:eastAsia="宋体"/>
          <w:b w:val="0"/>
          <w:color w:val="000000"/>
          <w:sz w:val="21"/>
        </w:rPr>
        <w:t>14 分型分期及严重程度：节段或非节段、活动或稳定需纵向病史；面积和VASI须变量。评分需体系版本、分项、日期和评估者，缺变量不自动算。</w:t>
      </w:r>
    </w:p>
    <w:p>
      <w:pPr>
        <w:spacing w:after="100"/>
      </w:pPr>
      <w:r>
        <w:rPr>
          <w:rFonts w:ascii="Arial" w:hAnsi="Arial" w:eastAsia="宋体"/>
          <w:b w:val="0"/>
          <w:color w:val="000000"/>
          <w:sz w:val="21"/>
        </w:rPr>
        <w:t>15 危急病情识别：快速进展、儿童明显心理负担及非典型系统表现。危险状态联合06，不等待文书齐全才处置。</w:t>
      </w:r>
    </w:p>
    <w:p>
      <w:pPr>
        <w:spacing w:after="100"/>
      </w:pPr>
      <w:r>
        <w:rPr>
          <w:rFonts w:ascii="Arial" w:hAnsi="Arial" w:eastAsia="宋体"/>
          <w:b w:val="0"/>
          <w:color w:val="000000"/>
          <w:sz w:val="21"/>
        </w:rPr>
        <w:t>16 外用治疗：按部位年龄选择外用抗炎及防晒，不能按照片判活动。该项为决策知识，患者已用与否及用法必须真实。</w:t>
      </w:r>
    </w:p>
    <w:p>
      <w:pPr>
        <w:spacing w:after="100"/>
      </w:pPr>
      <w:r>
        <w:rPr>
          <w:rFonts w:ascii="Arial" w:hAnsi="Arial" w:eastAsia="宋体"/>
          <w:b w:val="0"/>
          <w:color w:val="000000"/>
          <w:sz w:val="21"/>
        </w:rPr>
        <w:t>17 系统治疗：进展期系统方案须医生确认，不能自动长期激素或靶向药。不得自动填写剂量频次疗程或疗效，联合07核药物状态。</w:t>
      </w:r>
    </w:p>
    <w:p>
      <w:pPr>
        <w:spacing w:after="100"/>
      </w:pPr>
      <w:r>
        <w:rPr>
          <w:rFonts w:ascii="Arial" w:hAnsi="Arial" w:eastAsia="宋体"/>
          <w:b w:val="0"/>
          <w:color w:val="000000"/>
          <w:sz w:val="21"/>
        </w:rPr>
        <w:t>18 皮肤治疗操作：光疗逐次剂量；移植类治疗需实际稳定期及专科条件评估；操作前后按05，拟实施不得写已实施。</w:t>
      </w:r>
    </w:p>
    <w:p>
      <w:pPr>
        <w:spacing w:after="100"/>
      </w:pPr>
      <w:r>
        <w:rPr>
          <w:rFonts w:ascii="Arial" w:hAnsi="Arial" w:eastAsia="宋体"/>
          <w:b w:val="0"/>
          <w:color w:val="000000"/>
          <w:sz w:val="21"/>
        </w:rPr>
        <w:t>19 相关并发症：优先识别快速进展、儿童明显心理负担及非典型系统表现；继发感染、瘢痕及药物反应均要实际证据，风险不等已经发生。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病例特点：【真实病史，重点起病进展、新斑、外伤同形反应、家族及治疗；当次界清脱色斑、毛发变白及分布按实见】</w:t>
        <w:br/>
        <w:t>初步诊断：【白癜风及节段非节段型的实际确定度】</w:t>
        <w:br/>
        <w:t>诊断依据：【实际临床结合Wood灯按实际；必要皮肤镜，不常规病理或基因确诊】</w:t>
        <w:br/>
        <w:t>鉴别诊断：【炎症后减色、花斑癣、无色素痣及贫血痣的支持反对缺口】</w:t>
        <w:br/>
        <w:t>诊疗计划：【医师确认的按部位年龄选择外用抗炎及防晒，不能按照片判活动及必要检查监测；计划与执行分开】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界清脱色斑、毛发变白及分布按实见的实见部分及黏膜全身】，检查【当时可知结果】。目前考虑【诊断及确定度】，实际治疗【真实执行】，本日重点观察【节段或非节段、活动或稳定需纵向病史；面积和VASI须变量】，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白癜风及节段非节段型当前活动及真实治疗执行、短期反应】，关注【快速进展、儿童明显心理负担及非典型系统表现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临床结合Wood灯按实际；必要皮肤镜，不常规病理或基因确诊与形态对应、炎症后减色、花斑癣、无色素痣及贫血痣的鉴别及节段或非节段、活动或稳定需纵向病史；面积和VASI须变量】，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白癜风及节段非节段型疑难证据及系统风险】，就【进展期系统方案须医生确认，不能自动长期激素或靶向药涉及的本例重大决策】提出【真实策略与条件】，长期重点【统一照片条件观察新斑和复色，不把光线变白误判进展】，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节段或非节段、活动或稳定需纵向病史；面积和VASI须变量的真实变化及安全检查】，医师决定【实际药物或局部方案】由【原方案】调整为【新方案】，原因【证据】，当前处方及执行【分别状态】，监测【本例快速进展、儿童明显心理负担及非典型系统表现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光疗逐次剂量；移植类治疗需实际稳定期及专科条件评估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快速进展、儿童明显心理负担及非典型系统表现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诊疗经过：【临床结合Wood灯按实际；必要皮肤镜，不常规病理或基因确诊的实际结果、药物操作及转归】</w:t>
        <w:br/>
        <w:t>出院诊断：【确定度与版本】</w:t>
        <w:br/>
        <w:t>出院情况：【当次皮损黏膜全身实查】</w:t>
        <w:br/>
        <w:t>医嘱和未决事项：【统一照片条件观察新斑和复色，不把光线变白误判进展中适用的确认方案及责任】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护理：【按部位年龄选择外用抗炎及防晒，不能按照片判活动中已确认部分】</w:t>
        <w:br/>
        <w:t>复诊及监测：【本例实际项目时点责任】</w:t>
        <w:br/>
        <w:t>警示：【快速进展、儿童明显心理负担及非典型系统表现中需要患者识别的事项】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长期随访：统一照片条件观察新斑和复色，不把光线变白误判进展。具体项目、复查频率和责任人来自已确认方案，不统一套固定周期。</w:t>
      </w:r>
    </w:p>
    <w:p>
      <w:pPr>
        <w:spacing w:after="100"/>
      </w:pPr>
      <w:r>
        <w:rPr>
          <w:rFonts w:ascii="Arial" w:hAnsi="Arial" w:eastAsia="宋体"/>
          <w:b w:val="0"/>
          <w:color w:val="000000"/>
          <w:sz w:val="21"/>
        </w:rPr>
        <w:t>31 最终质控：重点核对临床结合Wood灯按实际；必要皮肤镜，不常规病理或基因确诊及节段或非节段、活动或稳定需纵向病史；面积和VASI须变量；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参考指南及版本：本组适用依据为R08、R09、R15、R30、R35，正式名称、机构、年份、适用范围、核验日期及核验限制见本文件参考章节。未核原表或说明书不补具体推荐。</w:t>
      </w:r>
    </w:p>
    <w:p>
      <w:bookmarkStart w:id="77" w:name="b77"/>
      <w:pPr>
        <w:pStyle w:val="Heading2"/>
      </w:pPr>
      <w:r>
        <w:t>02 炎症后色素沉着及减退</w:t>
      </w:r>
      <w:bookmarkEnd w:id="77"/>
    </w:p>
    <w:p>
      <w:pPr>
        <w:spacing w:after="100"/>
      </w:pPr>
      <w:r>
        <w:rPr>
          <w:rFonts w:ascii="Arial" w:hAnsi="Arial" w:eastAsia="宋体"/>
          <w:b w:val="0"/>
          <w:color w:val="000000"/>
          <w:sz w:val="21"/>
        </w:rPr>
        <w:t>01 疾病定义：炎症损伤后色素变化，不等同仍有活动炎症。该定义是专业知识，不能代替本例诊断。</w:t>
      </w:r>
    </w:p>
    <w:p>
      <w:pPr>
        <w:spacing w:after="100"/>
      </w:pPr>
      <w:r>
        <w:rPr>
          <w:rFonts w:ascii="Arial" w:hAnsi="Arial" w:eastAsia="宋体"/>
          <w:b w:val="0"/>
          <w:color w:val="000000"/>
          <w:sz w:val="21"/>
        </w:rPr>
        <w:t>02 病因及发病机制：围绕炎症损伤后色素变化，不等同仍有活动炎症采集相关线索；患者病因只写已核证据，未证实时保留可能性。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临床表现：症状、全身受累及变化按实际病史与检查；重点核实原炎症、外伤、激光药物及时间。</w:t>
      </w:r>
    </w:p>
    <w:p>
      <w:pPr>
        <w:spacing w:after="100"/>
      </w:pPr>
      <w:r>
        <w:rPr>
          <w:rFonts w:ascii="Arial" w:hAnsi="Arial" w:eastAsia="宋体"/>
          <w:b w:val="0"/>
          <w:color w:val="000000"/>
          <w:sz w:val="21"/>
        </w:rPr>
        <w:t>04 典型皮损形态：色沉或减色位置与原皮损对应，是否残余鳞屑实查。典型性只用于鉴别，不自动添加到患者查体。</w:t>
      </w:r>
    </w:p>
    <w:p>
      <w:pPr>
        <w:spacing w:after="100"/>
      </w:pPr>
      <w:r>
        <w:rPr>
          <w:rFonts w:ascii="Arial" w:hAnsi="Arial" w:eastAsia="宋体"/>
          <w:b w:val="0"/>
          <w:color w:val="000000"/>
          <w:sz w:val="21"/>
        </w:rPr>
        <w:t>05 皮损部位及分布：逐病灶记录色沉或减色位置与原皮损对应，是否残余鳞屑实查涉及的实际部位侧别、数量排列对称和范围；不补“全身”。</w:t>
      </w:r>
    </w:p>
    <w:p>
      <w:pPr>
        <w:spacing w:after="100"/>
      </w:pPr>
      <w:r>
        <w:rPr>
          <w:rFonts w:ascii="Arial" w:hAnsi="Arial" w:eastAsia="宋体"/>
          <w:b w:val="0"/>
          <w:color w:val="000000"/>
          <w:sz w:val="21"/>
        </w:rPr>
        <w:t>06 病史采集重点：原炎症、外伤、激光药物及时间；保留发病与发现、首次与复发、用药计划与执行的差别。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专科检查：按03实查原发继发皮损、黏膜、毛发甲及必要触诊，围绕活动原病与单纯残留颜色分开，减退与脱失不混记录而不强行检查无关项目。</w:t>
      </w:r>
    </w:p>
    <w:p>
      <w:pPr>
        <w:spacing w:after="100"/>
      </w:pPr>
      <w:r>
        <w:rPr>
          <w:rFonts w:ascii="Arial" w:hAnsi="Arial" w:eastAsia="宋体"/>
          <w:b w:val="0"/>
          <w:color w:val="000000"/>
          <w:sz w:val="21"/>
        </w:rPr>
        <w:t>08 实验室检查：临床，疑仍真菌或白癜风按问题检查；检查项目按问题选择，未做不写正常。</w:t>
      </w:r>
    </w:p>
    <w:p>
      <w:pPr>
        <w:spacing w:after="100"/>
      </w:pPr>
      <w:r>
        <w:rPr>
          <w:rFonts w:ascii="Arial" w:hAnsi="Arial" w:eastAsia="宋体"/>
          <w:b w:val="0"/>
          <w:color w:val="000000"/>
          <w:sz w:val="21"/>
        </w:rPr>
        <w:t>09 皮肤镜或其他辅助检查：围绕临床，疑仍真菌或白癜风按问题检查选择必要辅查；没有特定指征不常规添加皮肤镜，普通照不当镜图。</w:t>
      </w:r>
    </w:p>
    <w:p>
      <w:pPr>
        <w:spacing w:after="100"/>
      </w:pPr>
      <w:r>
        <w:rPr>
          <w:rFonts w:ascii="Arial" w:hAnsi="Arial" w:eastAsia="宋体"/>
          <w:b w:val="0"/>
          <w:color w:val="000000"/>
          <w:sz w:val="21"/>
        </w:rPr>
        <w:t>10 病理及免疫检查：不自动光电治疗，先明确诊断和风险。HE、DIF、IIF及抗体按实际诊断问题选择，非典型或疑难再评取材；无适应证不强制。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诊断标准：采用可核实的适用临床及专科体系，临床，疑仍真菌或白癜风按问题检查；未核全文的评分标准不得凭题录复造。</w:t>
      </w:r>
    </w:p>
    <w:p>
      <w:pPr>
        <w:spacing w:after="100"/>
      </w:pPr>
      <w:r>
        <w:rPr>
          <w:rFonts w:ascii="Arial" w:hAnsi="Arial" w:eastAsia="宋体"/>
          <w:b w:val="0"/>
          <w:color w:val="000000"/>
          <w:sz w:val="21"/>
        </w:rPr>
        <w:t>12 诊断依据：逐条将实际色沉或减色位置与原皮损对应，是否残余鳞屑实查与临床，疑仍真菌或白癜风按问题检查对应；写本例支持、反对及尚缺证据，保持疑似/初诊/确诊确定度。</w:t>
      </w:r>
    </w:p>
    <w:p>
      <w:pPr>
        <w:spacing w:after="100"/>
      </w:pPr>
      <w:r>
        <w:rPr>
          <w:rFonts w:ascii="Arial" w:hAnsi="Arial" w:eastAsia="宋体"/>
          <w:b w:val="0"/>
          <w:color w:val="000000"/>
          <w:sz w:val="21"/>
        </w:rPr>
        <w:t>13 鉴别诊断：白癜风、花斑癣、黄褐斑、药物色素及真皮病变。每项基于本例支持、反对和下一步验证，不机械写全部排除。</w:t>
      </w:r>
    </w:p>
    <w:p>
      <w:pPr>
        <w:spacing w:after="100"/>
      </w:pPr>
      <w:r>
        <w:rPr>
          <w:rFonts w:ascii="Arial" w:hAnsi="Arial" w:eastAsia="宋体"/>
          <w:b w:val="0"/>
          <w:color w:val="000000"/>
          <w:sz w:val="21"/>
        </w:rPr>
        <w:t>14 分型分期及严重程度：活动原病与单纯残留颜色分开，减退与脱失不混。评分需体系版本、分项、日期和评估者，缺变量不自动算。</w:t>
      </w:r>
    </w:p>
    <w:p>
      <w:pPr>
        <w:spacing w:after="100"/>
      </w:pPr>
      <w:r>
        <w:rPr>
          <w:rFonts w:ascii="Arial" w:hAnsi="Arial" w:eastAsia="宋体"/>
          <w:b w:val="0"/>
          <w:color w:val="000000"/>
          <w:sz w:val="21"/>
        </w:rPr>
        <w:t>15 危急病情识别：不愈合增厚或颜色持续异常伴全身表现需重评。危险状态联合06，不等待文书齐全才处置。</w:t>
      </w:r>
    </w:p>
    <w:p>
      <w:pPr>
        <w:spacing w:after="100"/>
      </w:pPr>
      <w:r>
        <w:rPr>
          <w:rFonts w:ascii="Arial" w:hAnsi="Arial" w:eastAsia="宋体"/>
          <w:b w:val="0"/>
          <w:color w:val="000000"/>
          <w:sz w:val="21"/>
        </w:rPr>
        <w:t>16 外用治疗：控制原病、防晒及个体化局部方案，避免刺激。该项为决策知识，患者已用与否及用法必须真实。</w:t>
      </w:r>
    </w:p>
    <w:p>
      <w:pPr>
        <w:spacing w:after="100"/>
      </w:pPr>
      <w:r>
        <w:rPr>
          <w:rFonts w:ascii="Arial" w:hAnsi="Arial" w:eastAsia="宋体"/>
          <w:b w:val="0"/>
          <w:color w:val="000000"/>
          <w:sz w:val="21"/>
        </w:rPr>
        <w:t>17 系统治疗：常规无需系统免疫或抗真菌。不得自动填写剂量频次疗程或疗效，联合07核药物状态。</w:t>
      </w:r>
    </w:p>
    <w:p>
      <w:pPr>
        <w:spacing w:after="100"/>
      </w:pPr>
      <w:r>
        <w:rPr>
          <w:rFonts w:ascii="Arial" w:hAnsi="Arial" w:eastAsia="宋体"/>
          <w:b w:val="0"/>
          <w:color w:val="000000"/>
          <w:sz w:val="21"/>
        </w:rPr>
        <w:t>18 皮肤治疗操作：不自动光电治疗，先明确诊断和风险；操作前后按05，拟实施不得写已实施。</w:t>
      </w:r>
    </w:p>
    <w:p>
      <w:pPr>
        <w:spacing w:after="100"/>
      </w:pPr>
      <w:r>
        <w:rPr>
          <w:rFonts w:ascii="Arial" w:hAnsi="Arial" w:eastAsia="宋体"/>
          <w:b w:val="0"/>
          <w:color w:val="000000"/>
          <w:sz w:val="21"/>
        </w:rPr>
        <w:t>19 相关并发症：优先识别不愈合增厚或颜色持续异常伴全身表现需重评；继发感染、瘢痕及药物反应均要实际证据，风险不等已经发生。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病例特点：【真实病史，重点原炎症、外伤、激光药物及时间；当次色沉或减色位置与原皮损对应，是否残余鳞屑实查】</w:t>
        <w:br/>
        <w:t>初步诊断：【炎症后色素沉着及减退的实际确定度】</w:t>
        <w:br/>
        <w:t>诊断依据：【实际临床，疑仍真菌或白癜风按问题检查】</w:t>
        <w:br/>
        <w:t>鉴别诊断：【白癜风、花斑癣、黄褐斑、药物色素及真皮病变的支持反对缺口】</w:t>
        <w:br/>
        <w:t>诊疗计划：【医师确认的控制原病、防晒及个体化局部方案，避免刺激及必要检查监测；计划与执行分开】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色沉或减色位置与原皮损对应，是否残余鳞屑实查的实见部分及黏膜全身】，检查【当时可知结果】。目前考虑【诊断及确定度】，实际治疗【真实执行】，本日重点观察【活动原病与单纯残留颜色分开，减退与脱失不混】，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炎症后色素沉着及减退当前活动及真实治疗执行、短期反应】，关注【不愈合增厚或颜色持续异常伴全身表现需重评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临床，疑仍真菌或白癜风按问题检查与形态对应、白癜风、花斑癣、黄褐斑、药物色素及真皮病变的鉴别及活动原病与单纯残留颜色分开，减退与脱失不混】，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炎症后色素沉着及减退疑难证据及系统风险】，就【常规无需系统免疫或抗真菌涉及的本例重大决策】提出【真实策略与条件】，长期重点【颜色恢复可慢，记录同光照比较和炎症状态】，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活动原病与单纯残留颜色分开，减退与脱失不混的真实变化及安全检查】，医师决定【实际药物或局部方案】由【原方案】调整为【新方案】，原因【证据】，当前处方及执行【分别状态】，监测【本例不愈合增厚或颜色持续异常伴全身表现需重评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不自动光电治疗，先明确诊断和风险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不愈合增厚或颜色持续异常伴全身表现需重评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诊疗经过：【临床，疑仍真菌或白癜风按问题检查的实际结果、药物操作及转归】</w:t>
        <w:br/>
        <w:t>出院诊断：【确定度与版本】</w:t>
        <w:br/>
        <w:t>出院情况：【当次皮损黏膜全身实查】</w:t>
        <w:br/>
        <w:t>医嘱和未决事项：【颜色恢复可慢，记录同光照比较和炎症状态中适用的确认方案及责任】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护理：【控制原病、防晒及个体化局部方案，避免刺激中已确认部分】</w:t>
        <w:br/>
        <w:t>复诊及监测：【本例实际项目时点责任】</w:t>
        <w:br/>
        <w:t>警示：【不愈合增厚或颜色持续异常伴全身表现需重评中需要患者识别的事项】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长期随访：颜色恢复可慢，记录同光照比较和炎症状态。具体项目、复查频率和责任人来自已确认方案，不统一套固定周期。</w:t>
      </w:r>
    </w:p>
    <w:p>
      <w:pPr>
        <w:spacing w:after="100"/>
      </w:pPr>
      <w:r>
        <w:rPr>
          <w:rFonts w:ascii="Arial" w:hAnsi="Arial" w:eastAsia="宋体"/>
          <w:b w:val="0"/>
          <w:color w:val="000000"/>
          <w:sz w:val="21"/>
        </w:rPr>
        <w:t>31 最终质控：重点核对临床，疑仍真菌或白癜风按问题检查及活动原病与单纯残留颜色分开，减退与脱失不混；防止将典型表现当事实、风险当并发症、拟治疗当执行。查房层级与真实意见及代码框经10终审。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参考指南及版本：本组适用依据为R08、R09、R15、R30、R35，正式名称、机构、年份、适用范围、核验日期及核验限制见本文件参考章节。未核原表或说明书不补具体推荐。</w:t>
      </w:r>
    </w:p>
    <w:p>
      <w:bookmarkStart w:id="120" w:name="b120"/>
      <w:pPr>
        <w:pStyle w:val="Heading2"/>
      </w:pPr>
      <w:r>
        <w:t>03 黄褐斑雀斑及其他色素异常</w:t>
      </w:r>
      <w:bookmarkEnd w:id="120"/>
    </w:p>
    <w:p>
      <w:pPr>
        <w:spacing w:after="100"/>
      </w:pPr>
      <w:r>
        <w:rPr>
          <w:rFonts w:ascii="Arial" w:hAnsi="Arial" w:eastAsia="宋体"/>
          <w:b w:val="0"/>
          <w:color w:val="000000"/>
          <w:sz w:val="21"/>
        </w:rPr>
        <w:t>01 疾病定义：色素增加病因不同，日晒遗传激素等影响各异。该定义是专业知识，不能代替本例诊断。</w:t>
      </w:r>
    </w:p>
    <w:p>
      <w:pPr>
        <w:spacing w:after="100"/>
      </w:pPr>
      <w:r>
        <w:rPr>
          <w:rFonts w:ascii="Arial" w:hAnsi="Arial" w:eastAsia="宋体"/>
          <w:b w:val="0"/>
          <w:color w:val="000000"/>
          <w:sz w:val="21"/>
        </w:rPr>
        <w:t>02 病因及发病机制：围绕色素增加病因不同，日晒遗传激素等影响各异采集相关线索；患者病因只写已核证据，未证实时保留可能性。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临床表现：症状、全身受累及变化按实际病史与检查；重点核实日晒、妊娠避孕药、外用及既往能量治疗。</w:t>
      </w:r>
    </w:p>
    <w:p>
      <w:pPr>
        <w:spacing w:after="100"/>
      </w:pPr>
      <w:r>
        <w:rPr>
          <w:rFonts w:ascii="Arial" w:hAnsi="Arial" w:eastAsia="宋体"/>
          <w:b w:val="0"/>
          <w:color w:val="000000"/>
          <w:sz w:val="21"/>
        </w:rPr>
        <w:t>04 典型皮损形态：面部对称色斑与散在雀斑分别描述。典型性只用于鉴别，不自动添加到患者查体。</w:t>
      </w:r>
    </w:p>
    <w:p>
      <w:pPr>
        <w:spacing w:after="100"/>
      </w:pPr>
      <w:r>
        <w:rPr>
          <w:rFonts w:ascii="Arial" w:hAnsi="Arial" w:eastAsia="宋体"/>
          <w:b w:val="0"/>
          <w:color w:val="000000"/>
          <w:sz w:val="21"/>
        </w:rPr>
        <w:t>05 皮损部位及分布：逐病灶记录面部对称色斑与散在雀斑分别描述涉及的实际部位侧别、数量排列对称和范围；不补“全身”。</w:t>
      </w:r>
    </w:p>
    <w:p>
      <w:pPr>
        <w:spacing w:after="100"/>
      </w:pPr>
      <w:r>
        <w:rPr>
          <w:rFonts w:ascii="Arial" w:hAnsi="Arial" w:eastAsia="宋体"/>
          <w:b w:val="0"/>
          <w:color w:val="000000"/>
          <w:sz w:val="21"/>
        </w:rPr>
        <w:t>06 病史采集重点：日晒、妊娠避孕药、外用及既往能量治疗；保留发病与发现、首次与复发、用药计划与执行的差别。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专科检查：按03实查原发继发皮损、黏膜、毛发甲及必要触诊，围绕颜色范围及适用量表须实测，妊娠情况真实记录而不强行检查无关项目。</w:t>
      </w:r>
    </w:p>
    <w:p>
      <w:pPr>
        <w:spacing w:after="100"/>
      </w:pPr>
      <w:r>
        <w:rPr>
          <w:rFonts w:ascii="Arial" w:hAnsi="Arial" w:eastAsia="宋体"/>
          <w:b w:val="0"/>
          <w:color w:val="000000"/>
          <w:sz w:val="21"/>
        </w:rPr>
        <w:t>08 实验室检查：依临床必要皮肤镜或Wood灯，非典型单灶须排肿瘤；检查项目按问题选择，未做不写正常。</w:t>
      </w:r>
    </w:p>
    <w:p>
      <w:pPr>
        <w:spacing w:after="100"/>
      </w:pPr>
      <w:r>
        <w:rPr>
          <w:rFonts w:ascii="Arial" w:hAnsi="Arial" w:eastAsia="宋体"/>
          <w:b w:val="0"/>
          <w:color w:val="000000"/>
          <w:sz w:val="21"/>
        </w:rPr>
        <w:t>09 皮肤镜或其他辅助检查：围绕依临床必要皮肤镜或Wood灯，非典型单灶须排肿瘤选择必要辅查；没有特定指征不常规添加皮肤镜，普通照不当镜图。</w:t>
      </w:r>
    </w:p>
    <w:p>
      <w:pPr>
        <w:spacing w:after="100"/>
      </w:pPr>
      <w:r>
        <w:rPr>
          <w:rFonts w:ascii="Arial" w:hAnsi="Arial" w:eastAsia="宋体"/>
          <w:b w:val="0"/>
          <w:color w:val="000000"/>
          <w:sz w:val="21"/>
        </w:rPr>
        <w:t>10 病理及免疫检查：激光等复发和色沉风险评估，记录真设备真参数。HE、DIF、IIF及抗体按实际诊断问题选择，非典型或疑难再评取材；无适应证不强制。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诊断标准：采用可核实的适用临床及专科体系，依临床必要皮肤镜或Wood灯，非典型单灶须排肿瘤；未核全文的评分标准不得凭题录复造。</w:t>
      </w:r>
    </w:p>
    <w:p>
      <w:pPr>
        <w:spacing w:after="100"/>
      </w:pPr>
      <w:r>
        <w:rPr>
          <w:rFonts w:ascii="Arial" w:hAnsi="Arial" w:eastAsia="宋体"/>
          <w:b w:val="0"/>
          <w:color w:val="000000"/>
          <w:sz w:val="21"/>
        </w:rPr>
        <w:t>12 诊断依据：逐条将实际面部对称色斑与散在雀斑分别描述与依临床必要皮肤镜或Wood灯，非典型单灶须排肿瘤对应；写本例支持、反对及尚缺证据，保持疑似/初诊/确诊确定度。</w:t>
      </w:r>
    </w:p>
    <w:p>
      <w:pPr>
        <w:spacing w:after="100"/>
      </w:pPr>
      <w:r>
        <w:rPr>
          <w:rFonts w:ascii="Arial" w:hAnsi="Arial" w:eastAsia="宋体"/>
          <w:b w:val="0"/>
          <w:color w:val="000000"/>
          <w:sz w:val="21"/>
        </w:rPr>
        <w:t>13 鉴别诊断：炎症后色沉、褐青色痣、药物色素及黑素性肿瘤。每项基于本例支持、反对和下一步验证，不机械写全部排除。</w:t>
      </w:r>
    </w:p>
    <w:p>
      <w:pPr>
        <w:spacing w:after="100"/>
      </w:pPr>
      <w:r>
        <w:rPr>
          <w:rFonts w:ascii="Arial" w:hAnsi="Arial" w:eastAsia="宋体"/>
          <w:b w:val="0"/>
          <w:color w:val="000000"/>
          <w:sz w:val="21"/>
        </w:rPr>
        <w:t>14 分型分期及严重程度：颜色范围及适用量表须实测，妊娠情况真实。评分需体系版本、分项、日期和评估者，缺变量不自动算。</w:t>
      </w:r>
    </w:p>
    <w:p>
      <w:pPr>
        <w:spacing w:after="100"/>
      </w:pPr>
      <w:r>
        <w:rPr>
          <w:rFonts w:ascii="Arial" w:hAnsi="Arial" w:eastAsia="宋体"/>
          <w:b w:val="0"/>
          <w:color w:val="000000"/>
          <w:sz w:val="21"/>
        </w:rPr>
        <w:t>15 危急病情识别：单灶快速变色增大或出血不按普通色斑处理。危险状态联合06，不等待文书齐全才处置。</w:t>
      </w:r>
    </w:p>
    <w:p>
      <w:pPr>
        <w:spacing w:after="100"/>
      </w:pPr>
      <w:r>
        <w:rPr>
          <w:rFonts w:ascii="Arial" w:hAnsi="Arial" w:eastAsia="宋体"/>
          <w:b w:val="0"/>
          <w:color w:val="000000"/>
          <w:sz w:val="21"/>
        </w:rPr>
        <w:t>16 外用治疗：防晒及批准范围内外用淡化方案，妊娠禁忌逐药核。该项为决策知识，患者已用与否及用法必须真实。</w:t>
      </w:r>
    </w:p>
    <w:p>
      <w:pPr>
        <w:spacing w:after="100"/>
      </w:pPr>
      <w:r>
        <w:rPr>
          <w:rFonts w:ascii="Arial" w:hAnsi="Arial" w:eastAsia="宋体"/>
          <w:b w:val="0"/>
          <w:color w:val="000000"/>
          <w:sz w:val="21"/>
        </w:rPr>
        <w:t>17 系统治疗：系统治疗需个体风险，不能自动生成氨甲环酸及疗程。不得自动填写剂量频次疗程或疗效，联合07核药物状态。</w:t>
      </w:r>
    </w:p>
    <w:p>
      <w:pPr>
        <w:spacing w:after="100"/>
      </w:pPr>
      <w:r>
        <w:rPr>
          <w:rFonts w:ascii="Arial" w:hAnsi="Arial" w:eastAsia="宋体"/>
          <w:b w:val="0"/>
          <w:color w:val="000000"/>
          <w:sz w:val="21"/>
        </w:rPr>
        <w:t>18 皮肤治疗操作：激光等复发和色沉风险评估，记录真设备真参数；操作前后按05，拟实施不得写已实施。</w:t>
      </w:r>
    </w:p>
    <w:p>
      <w:pPr>
        <w:spacing w:after="100"/>
      </w:pPr>
      <w:r>
        <w:rPr>
          <w:rFonts w:ascii="Arial" w:hAnsi="Arial" w:eastAsia="宋体"/>
          <w:b w:val="0"/>
          <w:color w:val="000000"/>
          <w:sz w:val="21"/>
        </w:rPr>
        <w:t>19 相关并发症：优先识别单灶快速变色增大或出血不按普通色斑处理；继发感染、瘢痕及药物反应均要实际证据，风险不等已经发生。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病例特点：【真实病史，重点日晒、妊娠避孕药、外用及既往能量治疗；当次面部对称色斑与散在雀斑分别描述】</w:t>
        <w:br/>
        <w:t>初步诊断：【黄褐斑雀斑及其他色素异常的实际确定度】</w:t>
        <w:br/>
        <w:t>诊断依据：【实际依临床必要皮肤镜或Wood灯，非典型单灶须排肿瘤】</w:t>
        <w:br/>
        <w:t>鉴别诊断：【炎症后色沉、褐青色痣、药物色素及黑素性肿瘤的支持反对缺口】</w:t>
        <w:br/>
        <w:t>诊疗计划：【医师确认的防晒及批准范围内外用淡化方案，妊娠禁忌逐药核及必要检查监测；计划与执行分开】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诉【本日症状变化】，查体见【本日面部对称色斑与散在雀斑分别描述的实见部分及黏膜全身】，检查【当时可知结果】。目前考虑【诊断及确定度】，实际治疗【真实执行】，本日重点观察【颜色范围及适用量表须实测，妊娠情况真实】，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黄褐斑雀斑及其他色素异常当前活动及真实治疗执行、短期反应】，关注【单灶快速变色增大或出血不按普通色斑处理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依临床必要皮肤镜或Wood灯，非典型单灶须排肿瘤与形态对应、炎症后色沉、褐青色痣、药物色素及黑素性肿瘤的鉴别及颜色范围及适用量表须实测，妊娠情况真实】，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黄褐斑雀斑及其他色素异常疑难证据及系统风险】，就【系统治疗需个体风险，不能自动生成氨甲环酸及疗程涉及的本例重大决策】提出【真实策略与条件】，长期重点【复发预期及防晒个体化，不承诺根治】，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颜色范围及适用量表须实测，妊娠情况真实的真实变化及安全检查】，医师决定【实际药物或局部方案】由【原方案】调整为【新方案】，原因【证据】，当前处方及执行【分别状态】，监测【本例单灶快速变色增大或出血不按普通色斑处理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激光等复发和色沉风险评估，记录真设备真参数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单灶快速变色增大或出血不按普通色斑处理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诊疗经过：【依临床必要皮肤镜或Wood灯，非典型单灶须排肿瘤的实际结果、药物操作及转归】</w:t>
        <w:br/>
        <w:t>出院诊断：【确定度与版本】</w:t>
        <w:br/>
        <w:t>出院情况：【当次皮损黏膜全身实查】</w:t>
        <w:br/>
        <w:t>医嘱和未决事项：【复发预期及防晒个体化，不承诺根治中适用的确认方案及责任】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护理：【防晒及批准范围内外用淡化方案，妊娠禁忌逐药核中已确认部分】</w:t>
        <w:br/>
        <w:t>复诊及监测：【本例实际项目时点责任】</w:t>
        <w:br/>
        <w:t>警示：【单灶快速变色增大或出血不按普通色斑处理中需要患者识别的事项】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长期随访：复发预期及防晒个体化，不承诺根治。具体项目、复查频率和责任人来自已确认方案，不统一套固定周期。</w:t>
      </w:r>
    </w:p>
    <w:p>
      <w:pPr>
        <w:spacing w:after="100"/>
      </w:pPr>
      <w:r>
        <w:rPr>
          <w:rFonts w:ascii="Arial" w:hAnsi="Arial" w:eastAsia="宋体"/>
          <w:b w:val="0"/>
          <w:color w:val="000000"/>
          <w:sz w:val="21"/>
        </w:rPr>
        <w:t>31 最终质控：重点核对依临床必要皮肤镜或Wood灯，非典型单灶须排肿瘤及颜色范围及适用量表须实测，妊娠情况真实；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参考指南及版本：本组适用依据为R08、R09、R15、R30、R35，正式名称、机构、年份、适用范围、核验日期及核验限制见本文件参考章节。未核原表或说明书不补具体推荐。</w:t>
      </w:r>
    </w:p>
    <w:p>
      <w:bookmarkStart w:id="163" w:name="b163"/>
      <w:pPr>
        <w:pStyle w:val="Heading2"/>
      </w:pPr>
      <w:r>
        <w:t>04 先天性色素病及遗传性角化异常</w:t>
      </w:r>
      <w:bookmarkEnd w:id="163"/>
    </w:p>
    <w:p>
      <w:pPr>
        <w:spacing w:after="100"/>
      </w:pPr>
      <w:r>
        <w:rPr>
          <w:rFonts w:ascii="Arial" w:hAnsi="Arial" w:eastAsia="宋体"/>
          <w:b w:val="0"/>
          <w:color w:val="000000"/>
          <w:sz w:val="21"/>
        </w:rPr>
        <w:t>01 疾病定义：先天或遗传相关皮肤表型需区分临床与分子确诊。该定义是专业知识，不能代替本例诊断。</w:t>
      </w:r>
    </w:p>
    <w:p>
      <w:pPr>
        <w:spacing w:after="100"/>
      </w:pPr>
      <w:r>
        <w:rPr>
          <w:rFonts w:ascii="Arial" w:hAnsi="Arial" w:eastAsia="宋体"/>
          <w:b w:val="0"/>
          <w:color w:val="000000"/>
          <w:sz w:val="21"/>
        </w:rPr>
        <w:t>02 病因及发病机制：围绕先天或遗传相关皮肤表型需区分临床与分子确诊采集相关线索；患者病因只写已核证据，未证实时保留可能性。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临床表现：症状、全身受累及变化按实际病史与检查；重点核实出生起病、家族谱、发育及其他器官表现。</w:t>
      </w:r>
    </w:p>
    <w:p>
      <w:pPr>
        <w:spacing w:after="100"/>
      </w:pPr>
      <w:r>
        <w:rPr>
          <w:rFonts w:ascii="Arial" w:hAnsi="Arial" w:eastAsia="宋体"/>
          <w:b w:val="0"/>
          <w:color w:val="000000"/>
          <w:sz w:val="21"/>
        </w:rPr>
        <w:t>04 典型皮损形态：先天色素异常、角化及分布分别记录。典型性只用于鉴别，不自动添加到患者查体。</w:t>
      </w:r>
    </w:p>
    <w:p>
      <w:pPr>
        <w:spacing w:after="100"/>
      </w:pPr>
      <w:r>
        <w:rPr>
          <w:rFonts w:ascii="Arial" w:hAnsi="Arial" w:eastAsia="宋体"/>
          <w:b w:val="0"/>
          <w:color w:val="000000"/>
          <w:sz w:val="21"/>
        </w:rPr>
        <w:t>05 皮损部位及分布：逐病灶记录先天色素异常、角化及分布分别记录涉及的实际部位侧别、数量排列对称和范围；不补“全身”。</w:t>
      </w:r>
    </w:p>
    <w:p>
      <w:pPr>
        <w:spacing w:after="100"/>
      </w:pPr>
      <w:r>
        <w:rPr>
          <w:rFonts w:ascii="Arial" w:hAnsi="Arial" w:eastAsia="宋体"/>
          <w:b w:val="0"/>
          <w:color w:val="000000"/>
          <w:sz w:val="21"/>
        </w:rPr>
        <w:t>06 病史采集重点：出生起病、家族谱、发育及其他器官表现；保留发病与发现、首次与复发、用药计划与执行的差别。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专科检查：按03实查原发继发皮损、黏膜、毛发甲及必要触诊，围绕表型、临床诊断、基因确诊和变异意义分字段记录而不强行检查无关项目。</w:t>
      </w:r>
    </w:p>
    <w:p>
      <w:pPr>
        <w:spacing w:after="100"/>
      </w:pPr>
      <w:r>
        <w:rPr>
          <w:rFonts w:ascii="Arial" w:hAnsi="Arial" w:eastAsia="宋体"/>
          <w:b w:val="0"/>
          <w:color w:val="000000"/>
          <w:sz w:val="21"/>
        </w:rPr>
        <w:t>08 实验室检查：必要遗传咨询、病理或分子检测；阴性不排所有遗传病；检查项目按问题选择，未做不写正常。</w:t>
      </w:r>
    </w:p>
    <w:p>
      <w:pPr>
        <w:spacing w:after="100"/>
      </w:pPr>
      <w:r>
        <w:rPr>
          <w:rFonts w:ascii="Arial" w:hAnsi="Arial" w:eastAsia="宋体"/>
          <w:b w:val="0"/>
          <w:color w:val="000000"/>
          <w:sz w:val="21"/>
        </w:rPr>
        <w:t>09 皮肤镜或其他辅助检查：围绕必要遗传咨询、病理或分子检测；阴性不排所有遗传病选择必要辅查；没有特定指征不常规添加皮肤镜，普通照不当镜图。</w:t>
      </w:r>
    </w:p>
    <w:p>
      <w:pPr>
        <w:spacing w:after="100"/>
      </w:pPr>
      <w:r>
        <w:rPr>
          <w:rFonts w:ascii="Arial" w:hAnsi="Arial" w:eastAsia="宋体"/>
          <w:b w:val="0"/>
          <w:color w:val="000000"/>
          <w:sz w:val="21"/>
        </w:rPr>
        <w:t>10 病理及免疫检查：不常规侵入操作，取材须真实适应证和监护沟通。HE、DIF、IIF及抗体按实际诊断问题选择，非典型或疑难再评取材；无适应证不强制。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诊断标准：采用可核实的适用临床及专科体系，必要遗传咨询、病理或分子检测；阴性不排所有遗传病；未核全文的评分标准不得凭题录复造。</w:t>
      </w:r>
    </w:p>
    <w:p>
      <w:pPr>
        <w:spacing w:after="100"/>
      </w:pPr>
      <w:r>
        <w:rPr>
          <w:rFonts w:ascii="Arial" w:hAnsi="Arial" w:eastAsia="宋体"/>
          <w:b w:val="0"/>
          <w:color w:val="000000"/>
          <w:sz w:val="21"/>
        </w:rPr>
        <w:t>12 诊断依据：逐条将实际先天色素异常、角化及分布分别记录与必要遗传咨询、病理或分子检测；阴性不排所有遗传病对应；写本例支持、反对及尚缺证据，保持疑似/初诊/确诊确定度。</w:t>
      </w:r>
    </w:p>
    <w:p>
      <w:pPr>
        <w:spacing w:after="100"/>
      </w:pPr>
      <w:r>
        <w:rPr>
          <w:rFonts w:ascii="Arial" w:hAnsi="Arial" w:eastAsia="宋体"/>
          <w:b w:val="0"/>
          <w:color w:val="000000"/>
          <w:sz w:val="21"/>
        </w:rPr>
        <w:t>13 鉴别诊断：后天色素障碍、炎症及非遗传性角化。每项基于本例支持、反对和下一步验证，不机械写全部排除。</w:t>
      </w:r>
    </w:p>
    <w:p>
      <w:pPr>
        <w:spacing w:after="100"/>
      </w:pPr>
      <w:r>
        <w:rPr>
          <w:rFonts w:ascii="Arial" w:hAnsi="Arial" w:eastAsia="宋体"/>
          <w:b w:val="0"/>
          <w:color w:val="000000"/>
          <w:sz w:val="21"/>
        </w:rPr>
        <w:t>14 分型分期及严重程度：表型、临床诊断、基因确诊和变异意义分字段。评分需体系版本、分项、日期和评估者，缺变量不自动算。</w:t>
      </w:r>
    </w:p>
    <w:p>
      <w:pPr>
        <w:spacing w:after="100"/>
      </w:pPr>
      <w:r>
        <w:rPr>
          <w:rFonts w:ascii="Arial" w:hAnsi="Arial" w:eastAsia="宋体"/>
          <w:b w:val="0"/>
          <w:color w:val="000000"/>
          <w:sz w:val="21"/>
        </w:rPr>
        <w:t>15 危急病情识别：发育异常、肿瘤易感或严重屏障受损需专病协作。危险状态联合06，不等待文书齐全才处置。</w:t>
      </w:r>
    </w:p>
    <w:p>
      <w:pPr>
        <w:spacing w:after="100"/>
      </w:pPr>
      <w:r>
        <w:rPr>
          <w:rFonts w:ascii="Arial" w:hAnsi="Arial" w:eastAsia="宋体"/>
          <w:b w:val="0"/>
          <w:color w:val="000000"/>
          <w:sz w:val="21"/>
        </w:rPr>
        <w:t>16 外用治疗：保湿保护及症状治疗按病种。该项为决策知识，患者已用与否及用法必须真实。</w:t>
      </w:r>
    </w:p>
    <w:p>
      <w:pPr>
        <w:spacing w:after="100"/>
      </w:pPr>
      <w:r>
        <w:rPr>
          <w:rFonts w:ascii="Arial" w:hAnsi="Arial" w:eastAsia="宋体"/>
          <w:b w:val="0"/>
          <w:color w:val="000000"/>
          <w:sz w:val="21"/>
        </w:rPr>
        <w:t>17 系统治疗：疾病特异治疗须确诊及专科，不自动维A酸。不得自动填写剂量频次疗程或疗效，联合07核药物状态。</w:t>
      </w:r>
    </w:p>
    <w:p>
      <w:pPr>
        <w:spacing w:after="100"/>
      </w:pPr>
      <w:r>
        <w:rPr>
          <w:rFonts w:ascii="Arial" w:hAnsi="Arial" w:eastAsia="宋体"/>
          <w:b w:val="0"/>
          <w:color w:val="000000"/>
          <w:sz w:val="21"/>
        </w:rPr>
        <w:t>18 皮肤治疗操作：不常规侵入操作，取材须真实适应证和监护沟通；操作前后按05，拟实施不得写已实施。</w:t>
      </w:r>
    </w:p>
    <w:p>
      <w:pPr>
        <w:spacing w:after="100"/>
      </w:pPr>
      <w:r>
        <w:rPr>
          <w:rFonts w:ascii="Arial" w:hAnsi="Arial" w:eastAsia="宋体"/>
          <w:b w:val="0"/>
          <w:color w:val="000000"/>
          <w:sz w:val="21"/>
        </w:rPr>
        <w:t>19 相关并发症：优先识别发育异常、肿瘤易感或严重屏障受损需专病协作；继发感染、瘢痕及药物反应均要实际证据，风险不等已经发生。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病例特点：【真实病史，重点出生起病、家族谱、发育及其他器官表现；当次先天色素异常、角化及分布分别记录】</w:t>
        <w:br/>
        <w:t>初步诊断：【先天性色素病及遗传性角化异常的实际确定度】</w:t>
        <w:br/>
        <w:t>诊断依据：【实际必要遗传咨询、病理或分子检测；阴性不排所有遗传病】</w:t>
        <w:br/>
        <w:t>鉴别诊断：【后天色素障碍、炎症及非遗传性角化的支持反对缺口】</w:t>
        <w:br/>
        <w:t>诊疗计划：【医师确认的保湿保护及症状治疗按病种及必要检查监测；计划与执行分开】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先天色素异常、角化及分布分别记录的实见部分及黏膜全身】，检查【当时可知结果】。目前考虑【诊断及确定度】，实际治疗【真实执行】，本日重点观察【表型、临床诊断、基因确诊和变异意义分字段】，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先天性色素病及遗传性角化异常当前活动及真实治疗执行、短期反应】，关注【发育异常、肿瘤易感或严重屏障受损需专病协作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必要遗传咨询、病理或分子检测；阴性不排所有遗传病与形态对应、后天色素障碍、炎症及非遗传性角化的鉴别及表型、临床诊断、基因确诊和变异意义分字段】，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先天性色素病及遗传性角化异常疑难证据及系统风险】，就【疾病特异治疗须确诊及专科，不自动维A酸涉及的本例重大决策】提出【真实策略与条件】，长期重点【随生长观察皮肤与系统问题，不推断父母基因型】，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表型、临床诊断、基因确诊和变异意义分字段的真实变化及安全检查】，医师决定【实际药物或局部方案】由【原方案】调整为【新方案】，原因【证据】，当前处方及执行【分别状态】，监测【本例发育异常、肿瘤易感或严重屏障受损需专病协作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不常规侵入操作，取材须真实适应证和监护沟通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发育异常、肿瘤易感或严重屏障受损需专病协作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诊疗经过：【必要遗传咨询、病理或分子检测；阴性不排所有遗传病的实际结果、药物操作及转归】</w:t>
        <w:br/>
        <w:t>出院诊断：【确定度与版本】</w:t>
        <w:br/>
        <w:t>出院情况：【当次皮损黏膜全身实查】</w:t>
        <w:br/>
        <w:t>医嘱和未决事项：【随生长观察皮肤与系统问题，不推断父母基因型中适用的确认方案及责任】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用药：【本例真实带药、剂量部位用法疗程及停药项】</w:t>
        <w:br/>
        <w:t>护理：【保湿保护及症状治疗按病种中已确认部分】</w:t>
        <w:br/>
        <w:t>复诊及监测：【本例实际项目时点责任】</w:t>
        <w:br/>
        <w:t>警示：【发育异常、肿瘤易感或严重屏障受损需专病协作中需要患者识别的事项】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长期随访：随生长观察皮肤与系统问题，不推断父母基因型。具体项目、复查频率和责任人来自已确认方案，不统一套固定周期。</w:t>
      </w:r>
    </w:p>
    <w:p>
      <w:pPr>
        <w:spacing w:after="100"/>
      </w:pPr>
      <w:r>
        <w:rPr>
          <w:rFonts w:ascii="Arial" w:hAnsi="Arial" w:eastAsia="宋体"/>
          <w:b w:val="0"/>
          <w:color w:val="000000"/>
          <w:sz w:val="21"/>
        </w:rPr>
        <w:t>31 最终质控：重点核对必要遗传咨询、病理或分子检测；阴性不排所有遗传病及表型、临床诊断、基因确诊和变异意义分字段；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参考指南及版本：本组适用依据为R08、R09、R15、R30、R35，正式名称、机构、年份、适用范围、核验日期及核验限制见本文件参考章节。未核原表或说明书不补具体推荐。</w:t>
      </w:r>
    </w:p>
    <w:p>
      <w:bookmarkStart w:id="206" w:name="b206"/>
      <w:pPr>
        <w:pStyle w:val="Heading2"/>
      </w:pPr>
      <w:r>
        <w:t>05 遗传性大疱性表皮松解症</w:t>
      </w:r>
      <w:bookmarkEnd w:id="206"/>
    </w:p>
    <w:p>
      <w:pPr>
        <w:spacing w:after="100"/>
      </w:pPr>
      <w:r>
        <w:rPr>
          <w:rFonts w:ascii="Arial" w:hAnsi="Arial" w:eastAsia="宋体"/>
          <w:b w:val="0"/>
          <w:color w:val="000000"/>
          <w:sz w:val="21"/>
        </w:rPr>
        <w:t>01 疾病定义：结构蛋白相关机械脆弱性大疱病，亚型须专门证据。该定义是专业知识，不能代替本例诊断。</w:t>
      </w:r>
    </w:p>
    <w:p>
      <w:pPr>
        <w:spacing w:after="100"/>
      </w:pPr>
      <w:r>
        <w:rPr>
          <w:rFonts w:ascii="Arial" w:hAnsi="Arial" w:eastAsia="宋体"/>
          <w:b w:val="0"/>
          <w:color w:val="000000"/>
          <w:sz w:val="21"/>
        </w:rPr>
        <w:t>02 病因及发病机制：围绕结构蛋白相关机械脆弱性大疱病，亚型须专门证据采集相关线索；患者病因只写已核证据，未证实时保留可能性。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临床表现：症状、全身受累及变化按实际病史与检查；重点核实出生起病、摩擦、家族、吞咽营养及感染。</w:t>
      </w:r>
    </w:p>
    <w:p>
      <w:pPr>
        <w:spacing w:after="100"/>
      </w:pPr>
      <w:r>
        <w:rPr>
          <w:rFonts w:ascii="Arial" w:hAnsi="Arial" w:eastAsia="宋体"/>
          <w:b w:val="0"/>
          <w:color w:val="000000"/>
          <w:sz w:val="21"/>
        </w:rPr>
        <w:t>04 典型皮损形态：摩擦部位水疱糜烂瘢痕及甲改变。典型性只用于鉴别，不自动添加到患者查体。</w:t>
      </w:r>
    </w:p>
    <w:p>
      <w:pPr>
        <w:spacing w:after="100"/>
      </w:pPr>
      <w:r>
        <w:rPr>
          <w:rFonts w:ascii="Arial" w:hAnsi="Arial" w:eastAsia="宋体"/>
          <w:b w:val="0"/>
          <w:color w:val="000000"/>
          <w:sz w:val="21"/>
        </w:rPr>
        <w:t>05 皮损部位及分布：逐病灶记录摩擦部位水疱糜烂瘢痕及甲改变涉及的实际部位侧别、数量排列对称和范围；不补“全身”。</w:t>
      </w:r>
    </w:p>
    <w:p>
      <w:pPr>
        <w:spacing w:after="100"/>
      </w:pPr>
      <w:r>
        <w:rPr>
          <w:rFonts w:ascii="Arial" w:hAnsi="Arial" w:eastAsia="宋体"/>
          <w:b w:val="0"/>
          <w:color w:val="000000"/>
          <w:sz w:val="21"/>
        </w:rPr>
        <w:t>06 病史采集重点：出生起病、摩擦、家族、吞咽营养及感染；保留发病与发现、首次与复发、用药计划与执行的差别。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专科检查：按03实查原发继发皮损、黏膜、毛发甲及必要触诊，围绕病型严重度、营养及器官受累，基因证据独立记录而不强行检查无关项目。</w:t>
      </w:r>
    </w:p>
    <w:p>
      <w:pPr>
        <w:spacing w:after="100"/>
      </w:pPr>
      <w:r>
        <w:rPr>
          <w:rFonts w:ascii="Arial" w:hAnsi="Arial" w:eastAsia="宋体"/>
          <w:b w:val="0"/>
          <w:color w:val="000000"/>
          <w:sz w:val="21"/>
        </w:rPr>
        <w:t>08 实验室检查：临床、免疫定位或电镜和基因按资源与指征；不套免疫性DIF结论；检查项目按问题选择，未做不写正常。</w:t>
      </w:r>
    </w:p>
    <w:p>
      <w:pPr>
        <w:spacing w:after="100"/>
      </w:pPr>
      <w:r>
        <w:rPr>
          <w:rFonts w:ascii="Arial" w:hAnsi="Arial" w:eastAsia="宋体"/>
          <w:b w:val="0"/>
          <w:color w:val="000000"/>
          <w:sz w:val="21"/>
        </w:rPr>
        <w:t>09 皮肤镜或其他辅助检查：围绕临床、免疫定位或电镜和基因按资源与指征；不套免疫性DIF结论选择必要辅查；没有特定指征不常规添加皮肤镜，普通照不当镜图。</w:t>
      </w:r>
    </w:p>
    <w:p>
      <w:pPr>
        <w:spacing w:after="100"/>
      </w:pPr>
      <w:r>
        <w:rPr>
          <w:rFonts w:ascii="Arial" w:hAnsi="Arial" w:eastAsia="宋体"/>
          <w:b w:val="0"/>
          <w:color w:val="000000"/>
          <w:sz w:val="21"/>
        </w:rPr>
        <w:t>10 病理及免疫检查：取材部位方法与专科确认，避免为常规模板加不必要创伤。HE、DIF、IIF及抗体按实际诊断问题选择，非典型或疑难再评取材；无适应证不强制。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诊断标准：采用可核实的适用临床及专科体系，临床、免疫定位或电镜和基因按资源与指征；不套免疫性DIF结论；未核全文的评分标准不得凭题录复造。</w:t>
      </w:r>
    </w:p>
    <w:p>
      <w:pPr>
        <w:spacing w:after="100"/>
      </w:pPr>
      <w:r>
        <w:rPr>
          <w:rFonts w:ascii="Arial" w:hAnsi="Arial" w:eastAsia="宋体"/>
          <w:b w:val="0"/>
          <w:color w:val="000000"/>
          <w:sz w:val="21"/>
        </w:rPr>
        <w:t>12 诊断依据：逐条将实际摩擦部位水疱糜烂瘢痕及甲改变与临床、免疫定位或电镜和基因按资源与指征；不套免疫性DIF结论对应；写本例支持、反对及尚缺证据，保持疑似/初诊/确诊确定度。</w:t>
      </w:r>
    </w:p>
    <w:p>
      <w:pPr>
        <w:spacing w:after="100"/>
      </w:pPr>
      <w:r>
        <w:rPr>
          <w:rFonts w:ascii="Arial" w:hAnsi="Arial" w:eastAsia="宋体"/>
          <w:b w:val="0"/>
          <w:color w:val="000000"/>
          <w:sz w:val="21"/>
        </w:rPr>
        <w:t>13 鉴别诊断：免疫性大疱病、感染、新生儿机械损伤。每项基于本例支持、反对和下一步验证，不机械写全部排除。</w:t>
      </w:r>
    </w:p>
    <w:p>
      <w:pPr>
        <w:spacing w:after="100"/>
      </w:pPr>
      <w:r>
        <w:rPr>
          <w:rFonts w:ascii="Arial" w:hAnsi="Arial" w:eastAsia="宋体"/>
          <w:b w:val="0"/>
          <w:color w:val="000000"/>
          <w:sz w:val="21"/>
        </w:rPr>
        <w:t>14 分型分期及严重程度：病型严重度、营养及器官受累，基因证据独立。评分需体系版本、分项、日期和评估者，缺变量不自动算。</w:t>
      </w:r>
    </w:p>
    <w:p>
      <w:pPr>
        <w:spacing w:after="100"/>
      </w:pPr>
      <w:r>
        <w:rPr>
          <w:rFonts w:ascii="Arial" w:hAnsi="Arial" w:eastAsia="宋体"/>
          <w:b w:val="0"/>
          <w:color w:val="000000"/>
          <w:sz w:val="21"/>
        </w:rPr>
        <w:t>15 危急病情识别：广泛屏障破坏、感染、贫血脱水、吞咽及慢性溃疡癌变风险。危险状态联合06，不等待文书齐全才处置。</w:t>
      </w:r>
    </w:p>
    <w:p>
      <w:pPr>
        <w:spacing w:after="100"/>
      </w:pPr>
      <w:r>
        <w:rPr>
          <w:rFonts w:ascii="Arial" w:hAnsi="Arial" w:eastAsia="宋体"/>
          <w:b w:val="0"/>
          <w:color w:val="000000"/>
          <w:sz w:val="21"/>
        </w:rPr>
        <w:t>16 外用治疗：无创伤敷料和摩擦保护，黏性敷料风险个体评估。该项为决策知识，患者已用与否及用法必须真实。</w:t>
      </w:r>
    </w:p>
    <w:p>
      <w:pPr>
        <w:spacing w:after="100"/>
      </w:pPr>
      <w:r>
        <w:rPr>
          <w:rFonts w:ascii="Arial" w:hAnsi="Arial" w:eastAsia="宋体"/>
          <w:b w:val="0"/>
          <w:color w:val="000000"/>
          <w:sz w:val="21"/>
        </w:rPr>
        <w:t>17 系统治疗：营养镇痛抗感染等按实际状态，非自动免疫抑制。不得自动填写剂量频次疗程或疗效，联合07核药物状态。</w:t>
      </w:r>
    </w:p>
    <w:p>
      <w:pPr>
        <w:spacing w:after="100"/>
      </w:pPr>
      <w:r>
        <w:rPr>
          <w:rFonts w:ascii="Arial" w:hAnsi="Arial" w:eastAsia="宋体"/>
          <w:b w:val="0"/>
          <w:color w:val="000000"/>
          <w:sz w:val="21"/>
        </w:rPr>
        <w:t>18 皮肤治疗操作：取材部位方法与专科确认，避免为常规模板加不必要创伤；操作前后按05，拟实施不得写已实施。</w:t>
      </w:r>
    </w:p>
    <w:p>
      <w:pPr>
        <w:spacing w:after="100"/>
      </w:pPr>
      <w:r>
        <w:rPr>
          <w:rFonts w:ascii="Arial" w:hAnsi="Arial" w:eastAsia="宋体"/>
          <w:b w:val="0"/>
          <w:color w:val="000000"/>
          <w:sz w:val="21"/>
        </w:rPr>
        <w:t>19 相关并发症：优先识别广泛屏障破坏、感染、贫血脱水、吞咽及慢性溃疡癌变风险；继发感染、瘢痕及药物反应均要实际证据，风险不等已经发生。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病例特点：【真实病史，重点出生起病、摩擦、家族、吞咽营养及感染；当次摩擦部位水疱糜烂瘢痕及甲改变】</w:t>
        <w:br/>
        <w:t>初步诊断：【遗传性大疱性表皮松解症的实际确定度】</w:t>
        <w:br/>
        <w:t>诊断依据：【实际临床、免疫定位或电镜和基因按资源与指征；不套免疫性DIF结论】</w:t>
        <w:br/>
        <w:t>鉴别诊断：【免疫性大疱病、感染、新生儿机械损伤的支持反对缺口】</w:t>
        <w:br/>
        <w:t>诊疗计划：【医师确认的无创伤敷料和摩擦保护，黏性敷料风险个体评估及必要检查监测；计划与执行分开】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诉【本日症状变化】，查体见【本日摩擦部位水疱糜烂瘢痕及甲改变的实见部分及黏膜全身】，检查【当时可知结果】。目前考虑【诊断及确定度】，实际治疗【真实执行】，本日重点观察【病型严重度、营养及器官受累，基因证据独立】，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遗传性大疱性表皮松解症当前活动及真实治疗执行、短期反应】，关注【广泛屏障破坏、感染、贫血脱水、吞咽及慢性溃疡癌变风险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临床、免疫定位或电镜和基因按资源与指征；不套免疫性DIF结论与形态对应、免疫性大疱病、感染、新生儿机械损伤的鉴别及病型严重度、营养及器官受累，基因证据独立】，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遗传性大疱性表皮松解症疑难证据及系统风险】，就【营养镇痛抗感染等按实际状态，非自动免疫抑制涉及的本例重大决策】提出【真实策略与条件】，长期重点【创面、营养生长、瘢痕及不愈合溃疡长期观察】，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病型严重度、营养及器官受累，基因证据独立的真实变化及安全检查】，医师决定【实际药物或局部方案】由【原方案】调整为【新方案】，原因【证据】，当前处方及执行【分别状态】，监测【本例广泛屏障破坏、感染、贫血脱水、吞咽及慢性溃疡癌变风险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取材部位方法与专科确认，避免为常规模板加不必要创伤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广泛屏障破坏、感染、贫血脱水、吞咽及慢性溃疡癌变风险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诊疗经过：【临床、免疫定位或电镜和基因按资源与指征；不套免疫性DIF结论的实际结果、药物操作及转归】</w:t>
        <w:br/>
        <w:t>出院诊断：【确定度与版本】</w:t>
        <w:br/>
        <w:t>出院情况：【当次皮损黏膜全身实查】</w:t>
        <w:br/>
        <w:t>医嘱和未决事项：【创面、营养生长、瘢痕及不愈合溃疡长期观察中适用的确认方案及责任】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护理：【无创伤敷料和摩擦保护，黏性敷料风险个体评估中已确认部分】</w:t>
        <w:br/>
        <w:t>复诊及监测：【本例实际项目时点责任】</w:t>
        <w:br/>
        <w:t>警示：【广泛屏障破坏、感染、贫血脱水、吞咽及慢性溃疡癌变风险中需要患者识别的事项】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长期随访：创面、营养生长、瘢痕及不愈合溃疡长期观察。具体项目、复查频率和责任人来自已确认方案，不统一套固定周期。</w:t>
      </w:r>
    </w:p>
    <w:p>
      <w:pPr>
        <w:spacing w:after="100"/>
      </w:pPr>
      <w:r>
        <w:rPr>
          <w:rFonts w:ascii="Arial" w:hAnsi="Arial" w:eastAsia="宋体"/>
          <w:b w:val="0"/>
          <w:color w:val="000000"/>
          <w:sz w:val="21"/>
        </w:rPr>
        <w:t>31 最终质控：重点核对临床、免疫定位或电镜和基因按资源与指征；不套免疫性DIF结论及病型严重度、营养及器官受累，基因证据独立；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参考指南及版本：本组适用依据为R08、R09、R15、R30、R35，正式名称、机构、年份、适用范围、核验日期及核验限制见本文件参考章节。未核原表或说明书不补具体推荐。</w:t>
      </w:r>
    </w:p>
    <w:p>
      <w:bookmarkStart w:id="249" w:name="b249"/>
      <w:pPr>
        <w:pStyle w:val="Heading2"/>
      </w:pPr>
      <w:r>
        <w:t>06 鱼鳞病及其他遗传性皮肤病</w:t>
      </w:r>
      <w:bookmarkEnd w:id="249"/>
    </w:p>
    <w:p>
      <w:pPr>
        <w:spacing w:after="100"/>
      </w:pPr>
      <w:r>
        <w:rPr>
          <w:rFonts w:ascii="Arial" w:hAnsi="Arial" w:eastAsia="宋体"/>
          <w:b w:val="0"/>
          <w:color w:val="000000"/>
          <w:sz w:val="21"/>
        </w:rPr>
        <w:t>01 疾病定义：角化障碍谱系可有多种遗传和获得性类型。该定义是专业知识，不能代替本例诊断。</w:t>
      </w:r>
    </w:p>
    <w:p>
      <w:pPr>
        <w:spacing w:after="100"/>
      </w:pPr>
      <w:r>
        <w:rPr>
          <w:rFonts w:ascii="Arial" w:hAnsi="Arial" w:eastAsia="宋体"/>
          <w:b w:val="0"/>
          <w:color w:val="000000"/>
          <w:sz w:val="21"/>
        </w:rPr>
        <w:t>02 病因及发病机制：围绕角化障碍谱系可有多种遗传和获得性类型采集相关线索；患者病因只写已核证据，未证实时保留可能性。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临床表现：症状、全身受累及变化按实际病史与检查；重点核实出生季节变化、家族、出汗耐热、听视及生长。</w:t>
      </w:r>
    </w:p>
    <w:p>
      <w:pPr>
        <w:spacing w:after="100"/>
      </w:pPr>
      <w:r>
        <w:rPr>
          <w:rFonts w:ascii="Arial" w:hAnsi="Arial" w:eastAsia="宋体"/>
          <w:b w:val="0"/>
          <w:color w:val="000000"/>
          <w:sz w:val="21"/>
        </w:rPr>
        <w:t>04 典型皮损形态：鳞屑、角化、红斑及掌跖表现按部位。典型性只用于鉴别，不自动添加到患者查体。</w:t>
      </w:r>
    </w:p>
    <w:p>
      <w:pPr>
        <w:spacing w:after="100"/>
      </w:pPr>
      <w:r>
        <w:rPr>
          <w:rFonts w:ascii="Arial" w:hAnsi="Arial" w:eastAsia="宋体"/>
          <w:b w:val="0"/>
          <w:color w:val="000000"/>
          <w:sz w:val="21"/>
        </w:rPr>
        <w:t>05 皮损部位及分布：逐病灶记录鳞屑、角化、红斑及掌跖表现按部位涉及的实际部位侧别、数量排列对称和范围；不补“全身”。</w:t>
      </w:r>
    </w:p>
    <w:p>
      <w:pPr>
        <w:spacing w:after="100"/>
      </w:pPr>
      <w:r>
        <w:rPr>
          <w:rFonts w:ascii="Arial" w:hAnsi="Arial" w:eastAsia="宋体"/>
          <w:b w:val="0"/>
          <w:color w:val="000000"/>
          <w:sz w:val="21"/>
        </w:rPr>
        <w:t>06 病史采集重点：出生季节变化、家族、出汗耐热、听视及生长；保留发病与发现、首次与复发、用药计划与执行的差别。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专科检查：按03实查原发继发皮损、黏膜、毛发甲及必要触诊，围绕临床表型和分子亚型不混写，儿童屏障和热耐受记录而不强行检查无关项目。</w:t>
      </w:r>
    </w:p>
    <w:p>
      <w:pPr>
        <w:spacing w:after="100"/>
      </w:pPr>
      <w:r>
        <w:rPr>
          <w:rFonts w:ascii="Arial" w:hAnsi="Arial" w:eastAsia="宋体"/>
          <w:b w:val="0"/>
          <w:color w:val="000000"/>
          <w:sz w:val="21"/>
        </w:rPr>
        <w:t>08 实验室检查：临床分型必要遗传与系统检查，获得性起病需找原病；检查项目按问题选择，未做不写正常。</w:t>
      </w:r>
    </w:p>
    <w:p>
      <w:pPr>
        <w:spacing w:after="100"/>
      </w:pPr>
      <w:r>
        <w:rPr>
          <w:rFonts w:ascii="Arial" w:hAnsi="Arial" w:eastAsia="宋体"/>
          <w:b w:val="0"/>
          <w:color w:val="000000"/>
          <w:sz w:val="21"/>
        </w:rPr>
        <w:t>09 皮肤镜或其他辅助检查：围绕临床分型必要遗传与系统检查，获得性起病需找原病选择必要辅查；没有特定指征不常规添加皮肤镜，普通照不当镜图。</w:t>
      </w:r>
    </w:p>
    <w:p>
      <w:pPr>
        <w:spacing w:after="100"/>
      </w:pPr>
      <w:r>
        <w:rPr>
          <w:rFonts w:ascii="Arial" w:hAnsi="Arial" w:eastAsia="宋体"/>
          <w:b w:val="0"/>
          <w:color w:val="000000"/>
          <w:sz w:val="21"/>
        </w:rPr>
        <w:t>10 病理及免疫检查：一般无手术需要，罕见取材按专科。HE、DIF、IIF及抗体按实际诊断问题选择，非典型或疑难再评取材；无适应证不强制。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诊断标准：采用可核实的适用临床及专科体系，临床分型必要遗传与系统检查，获得性起病需找原病；未核全文的评分标准不得凭题录复造。</w:t>
      </w:r>
    </w:p>
    <w:p>
      <w:pPr>
        <w:spacing w:after="100"/>
      </w:pPr>
      <w:r>
        <w:rPr>
          <w:rFonts w:ascii="Arial" w:hAnsi="Arial" w:eastAsia="宋体"/>
          <w:b w:val="0"/>
          <w:color w:val="000000"/>
          <w:sz w:val="21"/>
        </w:rPr>
        <w:t>12 诊断依据：逐条将实际鳞屑、角化、红斑及掌跖表现按部位与临床分型必要遗传与系统检查，获得性起病需找原病对应；写本例支持、反对及尚缺证据，保持疑似/初诊/确诊确定度。</w:t>
      </w:r>
    </w:p>
    <w:p>
      <w:pPr>
        <w:spacing w:after="100"/>
      </w:pPr>
      <w:r>
        <w:rPr>
          <w:rFonts w:ascii="Arial" w:hAnsi="Arial" w:eastAsia="宋体"/>
          <w:b w:val="0"/>
          <w:color w:val="000000"/>
          <w:sz w:val="21"/>
        </w:rPr>
        <w:t>13 鉴别诊断：乏脂性湿疹、获得性角化、银屑病及代谢病。每项基于本例支持、反对和下一步验证，不机械写全部排除。</w:t>
      </w:r>
    </w:p>
    <w:p>
      <w:pPr>
        <w:spacing w:after="100"/>
      </w:pPr>
      <w:r>
        <w:rPr>
          <w:rFonts w:ascii="Arial" w:hAnsi="Arial" w:eastAsia="宋体"/>
          <w:b w:val="0"/>
          <w:color w:val="000000"/>
          <w:sz w:val="21"/>
        </w:rPr>
        <w:t>14 分型分期及严重程度：临床表型和分子亚型不混写，儿童屏障和热耐受。评分需体系版本、分项、日期和评估者，缺变量不自动算。</w:t>
      </w:r>
    </w:p>
    <w:p>
      <w:pPr>
        <w:spacing w:after="100"/>
      </w:pPr>
      <w:r>
        <w:rPr>
          <w:rFonts w:ascii="Arial" w:hAnsi="Arial" w:eastAsia="宋体"/>
          <w:b w:val="0"/>
          <w:color w:val="000000"/>
          <w:sz w:val="21"/>
        </w:rPr>
        <w:t>15 危急病情识别：新生儿脱水感染体温不稳或明显系统表现。危险状态联合06，不等待文书齐全才处置。</w:t>
      </w:r>
    </w:p>
    <w:p>
      <w:pPr>
        <w:spacing w:after="100"/>
      </w:pPr>
      <w:r>
        <w:rPr>
          <w:rFonts w:ascii="Arial" w:hAnsi="Arial" w:eastAsia="宋体"/>
          <w:b w:val="0"/>
          <w:color w:val="000000"/>
          <w:sz w:val="21"/>
        </w:rPr>
        <w:t>16 外用治疗：保湿及年龄面积适合角质调节，避免大面积高浓度刺激。该项为决策知识，患者已用与否及用法必须真实。</w:t>
      </w:r>
    </w:p>
    <w:p>
      <w:pPr>
        <w:spacing w:after="100"/>
      </w:pPr>
      <w:r>
        <w:rPr>
          <w:rFonts w:ascii="Arial" w:hAnsi="Arial" w:eastAsia="宋体"/>
          <w:b w:val="0"/>
          <w:color w:val="000000"/>
          <w:sz w:val="21"/>
        </w:rPr>
        <w:t>17 系统治疗：严重特定亚型才评系统维A酸，核生育肝脂及儿童骨风险。不得自动填写剂量频次疗程或疗效，联合07核药物状态。</w:t>
      </w:r>
    </w:p>
    <w:p>
      <w:pPr>
        <w:spacing w:after="100"/>
      </w:pPr>
      <w:r>
        <w:rPr>
          <w:rFonts w:ascii="Arial" w:hAnsi="Arial" w:eastAsia="宋体"/>
          <w:b w:val="0"/>
          <w:color w:val="000000"/>
          <w:sz w:val="21"/>
        </w:rPr>
        <w:t>18 皮肤治疗操作：一般无手术需要，罕见取材按专科；操作前后按05，拟实施不得写已实施。</w:t>
      </w:r>
    </w:p>
    <w:p>
      <w:pPr>
        <w:spacing w:after="100"/>
      </w:pPr>
      <w:r>
        <w:rPr>
          <w:rFonts w:ascii="Arial" w:hAnsi="Arial" w:eastAsia="宋体"/>
          <w:b w:val="0"/>
          <w:color w:val="000000"/>
          <w:sz w:val="21"/>
        </w:rPr>
        <w:t>19 相关并发症：优先识别新生儿脱水感染体温不稳或明显系统表现；继发感染、瘢痕及药物反应均要实际证据，风险不等已经发生。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病例特点：【真实病史，重点出生季节变化、家族、出汗耐热、听视及生长；当次鳞屑、角化、红斑及掌跖表现按部位】</w:t>
        <w:br/>
        <w:t>初步诊断：【鱼鳞病及其他遗传性皮肤病的实际确定度】</w:t>
        <w:br/>
        <w:t>诊断依据：【实际临床分型必要遗传与系统检查，获得性起病需找原病】</w:t>
        <w:br/>
        <w:t>鉴别诊断：【乏脂性湿疹、获得性角化、银屑病及代谢病的支持反对缺口】</w:t>
        <w:br/>
        <w:t>诊疗计划：【医师确认的保湿及年龄面积适合角质调节，避免大面积高浓度刺激及必要检查监测；计划与执行分开】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鳞屑、角化、红斑及掌跖表现按部位的实见部分及黏膜全身】，检查【当时可知结果】。目前考虑【诊断及确定度】，实际治疗【真实执行】，本日重点观察【临床表型和分子亚型不混写，儿童屏障和热耐受】，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鱼鳞病及其他遗传性皮肤病当前活动及真实治疗执行、短期反应】，关注【新生儿脱水感染体温不稳或明显系统表现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临床分型必要遗传与系统检查，获得性起病需找原病与形态对应、乏脂性湿疹、获得性角化、银屑病及代谢病的鉴别及临床表型和分子亚型不混写，儿童屏障和热耐受】，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鱼鳞病及其他遗传性皮肤病疑难证据及系统风险】，就【严重特定亚型才评系统维A酸，核生育肝脂及儿童骨风险涉及的本例重大决策】提出【真实策略与条件】，长期重点【皮肤功能及儿童生长长期追踪，不编基因和遗传方式】，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临床表型和分子亚型不混写，儿童屏障和热耐受的真实变化及安全检查】，医师决定【实际药物或局部方案】由【原方案】调整为【新方案】，原因【证据】，当前处方及执行【分别状态】，监测【本例新生儿脱水感染体温不稳或明显系统表现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一般无手术需要，罕见取材按专科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新生儿脱水感染体温不稳或明显系统表现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诊疗经过：【临床分型必要遗传与系统检查，获得性起病需找原病的实际结果、药物操作及转归】</w:t>
        <w:br/>
        <w:t>出院诊断：【确定度与版本】</w:t>
        <w:br/>
        <w:t>出院情况：【当次皮损黏膜全身实查】</w:t>
        <w:br/>
        <w:t>医嘱和未决事项：【皮肤功能及儿童生长长期追踪，不编基因和遗传方式中适用的确认方案及责任】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护理：【保湿及年龄面积适合角质调节，避免大面积高浓度刺激中已确认部分】</w:t>
        <w:br/>
        <w:t>复诊及监测：【本例实际项目时点责任】</w:t>
        <w:br/>
        <w:t>警示：【新生儿脱水感染体温不稳或明显系统表现中需要患者识别的事项】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长期随访：皮肤功能及儿童生长长期追踪，不编基因和遗传方式。具体项目、复查频率和责任人来自已确认方案，不统一套固定周期。</w:t>
      </w:r>
    </w:p>
    <w:p>
      <w:pPr>
        <w:spacing w:after="100"/>
      </w:pPr>
      <w:r>
        <w:rPr>
          <w:rFonts w:ascii="Arial" w:hAnsi="Arial" w:eastAsia="宋体"/>
          <w:b w:val="0"/>
          <w:color w:val="000000"/>
          <w:sz w:val="21"/>
        </w:rPr>
        <w:t>31 最终质控：重点核对临床分型必要遗传与系统检查，获得性起病需找原病及临床表型和分子亚型不混写，儿童屏障和热耐受；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参考指南及版本：本组适用依据为R08、R09、R15、R30、R35，正式名称、机构、年份、适用范围、核验日期及核验限制见本文件参考章节。未核原表或说明书不补具体推荐。</w:t>
      </w:r>
    </w:p>
    <w:p>
      <w:bookmarkStart w:id="292" w:name="b292"/>
      <w:pPr>
        <w:pStyle w:val="Heading2"/>
      </w:pPr>
      <w:r>
        <w:t>07 儿童特应性皮炎及儿童感染</w:t>
      </w:r>
      <w:bookmarkEnd w:id="292"/>
    </w:p>
    <w:p>
      <w:pPr>
        <w:spacing w:after="100"/>
      </w:pPr>
      <w:r>
        <w:rPr>
          <w:rFonts w:ascii="Arial" w:hAnsi="Arial" w:eastAsia="宋体"/>
          <w:b w:val="0"/>
          <w:color w:val="000000"/>
          <w:sz w:val="21"/>
        </w:rPr>
        <w:t>01 疾病定义：儿童病种按年龄和原病模块联合，非成人方案缩小。该定义是专业知识，不能代替本例诊断。</w:t>
      </w:r>
    </w:p>
    <w:p>
      <w:pPr>
        <w:spacing w:after="100"/>
      </w:pPr>
      <w:r>
        <w:rPr>
          <w:rFonts w:ascii="Arial" w:hAnsi="Arial" w:eastAsia="宋体"/>
          <w:b w:val="0"/>
          <w:color w:val="000000"/>
          <w:sz w:val="21"/>
        </w:rPr>
        <w:t>02 病因及发病机制：围绕儿童病种按年龄和原病模块联合，非成人方案缩小采集相关线索；患者病因只写已核证据，未证实时保留可能性。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临床表现：症状、全身受累及变化按实际病史与检查；重点核实月龄、真实体重、喂养、生长、睡眠、接触及监护人描述。</w:t>
      </w:r>
    </w:p>
    <w:p>
      <w:pPr>
        <w:spacing w:after="100"/>
      </w:pPr>
      <w:r>
        <w:rPr>
          <w:rFonts w:ascii="Arial" w:hAnsi="Arial" w:eastAsia="宋体"/>
          <w:b w:val="0"/>
          <w:color w:val="000000"/>
          <w:sz w:val="21"/>
        </w:rPr>
        <w:t>04 典型皮损形态：婴儿面颊伸侧或较大儿童屈侧等仅按实查。典型性只用于鉴别，不自动添加到患者查体。</w:t>
      </w:r>
    </w:p>
    <w:p>
      <w:pPr>
        <w:spacing w:after="100"/>
      </w:pPr>
      <w:r>
        <w:rPr>
          <w:rFonts w:ascii="Arial" w:hAnsi="Arial" w:eastAsia="宋体"/>
          <w:b w:val="0"/>
          <w:color w:val="000000"/>
          <w:sz w:val="21"/>
        </w:rPr>
        <w:t>05 皮损部位及分布：逐病灶记录婴儿面颊伸侧或较大儿童屈侧等仅按实查涉及的实际部位侧别、数量排列对称和范围；不补“全身”。</w:t>
      </w:r>
    </w:p>
    <w:p>
      <w:pPr>
        <w:spacing w:after="100"/>
      </w:pPr>
      <w:r>
        <w:rPr>
          <w:rFonts w:ascii="Arial" w:hAnsi="Arial" w:eastAsia="宋体"/>
          <w:b w:val="0"/>
          <w:color w:val="000000"/>
          <w:sz w:val="21"/>
        </w:rPr>
        <w:t>06 病史采集重点：月龄、真实体重、喂养、生长、睡眠、接触及监护人描述；保留发病与发现、首次与复发、用药计划与执行的差别。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专科检查：按03实查原发继发皮损、黏膜、毛发甲及必要触诊，围绕年龄适用量表、实际范围与生长负担记录而不强行检查无关项目。</w:t>
      </w:r>
    </w:p>
    <w:p>
      <w:pPr>
        <w:spacing w:after="100"/>
      </w:pPr>
      <w:r>
        <w:rPr>
          <w:rFonts w:ascii="Arial" w:hAnsi="Arial" w:eastAsia="宋体"/>
          <w:b w:val="0"/>
          <w:color w:val="000000"/>
          <w:sz w:val="21"/>
        </w:rPr>
        <w:t>08 实验室检查：AD联合101，感染联合103；不以IgE或食物检测自动大范围忌口；检查项目按问题选择，未做不写正常。</w:t>
      </w:r>
    </w:p>
    <w:p>
      <w:pPr>
        <w:spacing w:after="100"/>
      </w:pPr>
      <w:r>
        <w:rPr>
          <w:rFonts w:ascii="Arial" w:hAnsi="Arial" w:eastAsia="宋体"/>
          <w:b w:val="0"/>
          <w:color w:val="000000"/>
          <w:sz w:val="21"/>
        </w:rPr>
        <w:t>09 皮肤镜或其他辅助检查：围绕AD联合101，感染联合103；不以IgE或食物检测自动大范围忌口选择必要辅查；没有特定指征不常规添加皮肤镜，普通照不当镜图。</w:t>
      </w:r>
    </w:p>
    <w:p>
      <w:pPr>
        <w:spacing w:after="100"/>
      </w:pPr>
      <w:r>
        <w:rPr>
          <w:rFonts w:ascii="Arial" w:hAnsi="Arial" w:eastAsia="宋体"/>
          <w:b w:val="0"/>
          <w:color w:val="000000"/>
          <w:sz w:val="21"/>
        </w:rPr>
        <w:t>10 病理及免疫检查：取材光疗等需真实适应证、监护沟通及安全条件。HE、DIF、IIF及抗体按实际诊断问题选择，非典型或疑难再评取材；无适应证不强制。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诊断标准：采用可核实的适用临床及专科体系，AD联合101，感染联合103；不以IgE或食物检测自动大范围忌口；未核全文的评分标准不得凭题录复造。</w:t>
      </w:r>
    </w:p>
    <w:p>
      <w:pPr>
        <w:spacing w:after="100"/>
      </w:pPr>
      <w:r>
        <w:rPr>
          <w:rFonts w:ascii="Arial" w:hAnsi="Arial" w:eastAsia="宋体"/>
          <w:b w:val="0"/>
          <w:color w:val="000000"/>
          <w:sz w:val="21"/>
        </w:rPr>
        <w:t>12 诊断依据：逐条将实际婴儿面颊伸侧或较大儿童屈侧等仅按实查与AD联合101，感染联合103；不以IgE或食物检测自动大范围忌口对应；写本例支持、反对及尚缺证据，保持疑似/初诊/确诊确定度。</w:t>
      </w:r>
    </w:p>
    <w:p>
      <w:pPr>
        <w:spacing w:after="100"/>
      </w:pPr>
      <w:r>
        <w:rPr>
          <w:rFonts w:ascii="Arial" w:hAnsi="Arial" w:eastAsia="宋体"/>
          <w:b w:val="0"/>
          <w:color w:val="000000"/>
          <w:sz w:val="21"/>
        </w:rPr>
        <w:t>13 鉴别诊断：疥疮、感染、免疫缺陷、营养及遗传病。每项基于本例支持、反对和下一步验证，不机械写全部排除。</w:t>
      </w:r>
    </w:p>
    <w:p>
      <w:pPr>
        <w:spacing w:after="100"/>
      </w:pPr>
      <w:r>
        <w:rPr>
          <w:rFonts w:ascii="Arial" w:hAnsi="Arial" w:eastAsia="宋体"/>
          <w:b w:val="0"/>
          <w:color w:val="000000"/>
          <w:sz w:val="21"/>
        </w:rPr>
        <w:t>14 分型分期及严重程度：年龄适用量表、实际范围与生长负担。评分需体系版本、分项、日期和评估者，缺变量不自动算。</w:t>
      </w:r>
    </w:p>
    <w:p>
      <w:pPr>
        <w:spacing w:after="100"/>
      </w:pPr>
      <w:r>
        <w:rPr>
          <w:rFonts w:ascii="Arial" w:hAnsi="Arial" w:eastAsia="宋体"/>
          <w:b w:val="0"/>
          <w:color w:val="000000"/>
          <w:sz w:val="21"/>
        </w:rPr>
        <w:t>15 危急病情识别：发热、单形疱糜烂、嗜睡进食差、新生儿疱疹急评。危险状态联合06，不等待文书齐全才处置。</w:t>
      </w:r>
    </w:p>
    <w:p>
      <w:pPr>
        <w:spacing w:after="100"/>
      </w:pPr>
      <w:r>
        <w:rPr>
          <w:rFonts w:ascii="Arial" w:hAnsi="Arial" w:eastAsia="宋体"/>
          <w:b w:val="0"/>
          <w:color w:val="000000"/>
          <w:sz w:val="21"/>
        </w:rPr>
        <w:t>16 外用治疗：药物强度面积部位及年龄批准核实，保湿为基础。该项为决策知识，患者已用与否及用法必须真实。</w:t>
      </w:r>
    </w:p>
    <w:p>
      <w:pPr>
        <w:spacing w:after="100"/>
      </w:pPr>
      <w:r>
        <w:rPr>
          <w:rFonts w:ascii="Arial" w:hAnsi="Arial" w:eastAsia="宋体"/>
          <w:b w:val="0"/>
          <w:color w:val="000000"/>
          <w:sz w:val="21"/>
        </w:rPr>
        <w:t>17 系统治疗：系统剂量只能基于真实体重和医嘱，生物制剂年龄逐药核。不得自动填写剂量频次疗程或疗效，联合07核药物状态。</w:t>
      </w:r>
    </w:p>
    <w:p>
      <w:pPr>
        <w:spacing w:after="100"/>
      </w:pPr>
      <w:r>
        <w:rPr>
          <w:rFonts w:ascii="Arial" w:hAnsi="Arial" w:eastAsia="宋体"/>
          <w:b w:val="0"/>
          <w:color w:val="000000"/>
          <w:sz w:val="21"/>
        </w:rPr>
        <w:t>18 皮肤治疗操作：取材光疗等需真实适应证、监护沟通及安全条件；操作前后按05，拟实施不得写已实施。</w:t>
      </w:r>
    </w:p>
    <w:p>
      <w:pPr>
        <w:spacing w:after="100"/>
      </w:pPr>
      <w:r>
        <w:rPr>
          <w:rFonts w:ascii="Arial" w:hAnsi="Arial" w:eastAsia="宋体"/>
          <w:b w:val="0"/>
          <w:color w:val="000000"/>
          <w:sz w:val="21"/>
        </w:rPr>
        <w:t>19 相关并发症：优先识别发热、单形疱糜烂、嗜睡进食差、新生儿疱疹急评；继发感染、瘢痕及药物反应均要实际证据，风险不等已经发生。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病例特点：【真实病史，重点月龄、真实体重、喂养、生长、睡眠、接触及监护人描述；当次婴儿面颊伸侧或较大儿童屈侧等仅按实查】</w:t>
        <w:br/>
        <w:t>初步诊断：【儿童特应性皮炎及儿童感染的实际确定度】</w:t>
        <w:br/>
        <w:t>诊断依据：【实际AD联合101，感染联合103；不以IgE或食物检测自动大范围忌口】</w:t>
        <w:br/>
        <w:t>鉴别诊断：【疥疮、感染、免疫缺陷、营养及遗传病的支持反对缺口】</w:t>
        <w:br/>
        <w:t>诊疗计划：【医师确认的药物强度面积部位及年龄批准核实，保湿为基础及必要检查监测；计划与执行分开】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诉【本日症状变化】，查体见【本日婴儿面颊伸侧或较大儿童屈侧等仅按实查的实见部分及黏膜全身】，检查【当时可知结果】。目前考虑【诊断及确定度】，实际治疗【真实执行】，本日重点观察【年龄适用量表、实际范围与生长负担】，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儿童特应性皮炎及儿童感染当前活动及真实治疗执行、短期反应】，关注【发热、单形疱糜烂、嗜睡进食差、新生儿疱疹急评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AD联合101，感染联合103；不以IgE或食物检测自动大范围忌口与形态对应、疥疮、感染、免疫缺陷、营养及遗传病的鉴别及年龄适用量表、实际范围与生长负担】，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儿童特应性皮炎及儿童感染疑难证据及系统风险】，就【系统剂量只能基于真实体重和医嘱，生物制剂年龄逐药核涉及的本例重大决策】提出【真实策略与条件】，长期重点【结合2026儿童共识题录和现有可核全文，监测生长及睡眠】，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年龄适用量表、实际范围与生长负担的真实变化及安全检查】，医师决定【实际药物或局部方案】由【原方案】调整为【新方案】，原因【证据】，当前处方及执行【分别状态】，监测【本例发热、单形疱糜烂、嗜睡进食差、新生儿疱疹急评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取材光疗等需真实适应证、监护沟通及安全条件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发热、单形疱糜烂、嗜睡进食差、新生儿疱疹急评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诊疗经过：【AD联合101，感染联合103；不以IgE或食物检测自动大范围忌口的实际结果、药物操作及转归】</w:t>
        <w:br/>
        <w:t>出院诊断：【确定度与版本】</w:t>
        <w:br/>
        <w:t>出院情况：【当次皮损黏膜全身实查】</w:t>
        <w:br/>
        <w:t>医嘱和未决事项：【结合2026儿童共识题录和现有可核全文，监测生长及睡眠中适用的确认方案及责任】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护理：【药物强度面积部位及年龄批准核实，保湿为基础中已确认部分】</w:t>
        <w:br/>
        <w:t>复诊及监测：【本例实际项目时点责任】</w:t>
        <w:br/>
        <w:t>警示：【发热、单形疱糜烂、嗜睡进食差、新生儿疱疹急评中需要患者识别的事项】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长期随访：结合2026儿童共识题录和现有可核全文，监测生长及睡眠。具体项目、复查频率和责任人来自已确认方案，不统一套固定周期。</w:t>
      </w:r>
    </w:p>
    <w:p>
      <w:pPr>
        <w:spacing w:after="100"/>
      </w:pPr>
      <w:r>
        <w:rPr>
          <w:rFonts w:ascii="Arial" w:hAnsi="Arial" w:eastAsia="宋体"/>
          <w:b w:val="0"/>
          <w:color w:val="000000"/>
          <w:sz w:val="21"/>
        </w:rPr>
        <w:t>31 最终质控：重点核对AD联合101，感染联合103；不以IgE或食物检测自动大范围忌口及年龄适用量表、实际范围与生长负担；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参考指南及版本：本组适用依据为R08、R09、R15、R30、R35，正式名称、机构、年份、适用范围、核验日期及核验限制见本文件参考章节。未核原表或说明书不补具体推荐。</w:t>
      </w:r>
    </w:p>
    <w:p>
      <w:bookmarkStart w:id="335" w:name="b335"/>
      <w:pPr>
        <w:pStyle w:val="Heading2"/>
      </w:pPr>
      <w:r>
        <w:t>08 老年特殊皮肤病</w:t>
      </w:r>
      <w:bookmarkEnd w:id="335"/>
    </w:p>
    <w:p>
      <w:pPr>
        <w:spacing w:after="100"/>
      </w:pPr>
      <w:r>
        <w:rPr>
          <w:rFonts w:ascii="Arial" w:hAnsi="Arial" w:eastAsia="宋体"/>
          <w:b w:val="0"/>
          <w:color w:val="000000"/>
          <w:sz w:val="21"/>
        </w:rPr>
        <w:t>01 疾病定义：高龄皮肤问题常与共病、多药和护理能力交叉。该定义是专业知识，不能代替本例诊断。</w:t>
      </w:r>
    </w:p>
    <w:p>
      <w:pPr>
        <w:spacing w:after="100"/>
      </w:pPr>
      <w:r>
        <w:rPr>
          <w:rFonts w:ascii="Arial" w:hAnsi="Arial" w:eastAsia="宋体"/>
          <w:b w:val="0"/>
          <w:color w:val="000000"/>
          <w:sz w:val="21"/>
        </w:rPr>
        <w:t>02 病因及发病机制：围绕高龄皮肤问题常与共病、多药和护理能力交叉采集相关线索；患者病因只写已核证据，未证实时保留可能性。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临床表现：症状、全身受累及变化按实际病史与检查；重点核实多药开始停变、认知行动、跌倒营养及照护。</w:t>
      </w:r>
    </w:p>
    <w:p>
      <w:pPr>
        <w:spacing w:after="100"/>
      </w:pPr>
      <w:r>
        <w:rPr>
          <w:rFonts w:ascii="Arial" w:hAnsi="Arial" w:eastAsia="宋体"/>
          <w:b w:val="0"/>
          <w:color w:val="000000"/>
          <w:sz w:val="21"/>
        </w:rPr>
        <w:t>04 典型皮损形态：干燥瘙痒、紫癜、糜烂或新疱按实查。典型性只用于鉴别，不自动添加到患者查体。</w:t>
      </w:r>
    </w:p>
    <w:p>
      <w:pPr>
        <w:spacing w:after="100"/>
      </w:pPr>
      <w:r>
        <w:rPr>
          <w:rFonts w:ascii="Arial" w:hAnsi="Arial" w:eastAsia="宋体"/>
          <w:b w:val="0"/>
          <w:color w:val="000000"/>
          <w:sz w:val="21"/>
        </w:rPr>
        <w:t>05 皮损部位及分布：逐病灶记录干燥瘙痒、紫癜、糜烂或新疱按实查涉及的实际部位侧别、数量排列对称和范围；不补“全身”。</w:t>
      </w:r>
    </w:p>
    <w:p>
      <w:pPr>
        <w:spacing w:after="100"/>
      </w:pPr>
      <w:r>
        <w:rPr>
          <w:rFonts w:ascii="Arial" w:hAnsi="Arial" w:eastAsia="宋体"/>
          <w:b w:val="0"/>
          <w:color w:val="000000"/>
          <w:sz w:val="21"/>
        </w:rPr>
        <w:t>06 病史采集重点：多药开始停变、认知行动、跌倒营养及照护；保留发病与发现、首次与复发、用药计划与执行的差别。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专科检查：按03实查原发继发皮损、黏膜、毛发甲及必要触诊，围绕疾病证据与衰弱照护需求分别评记录而不强行检查无关项目。</w:t>
      </w:r>
    </w:p>
    <w:p>
      <w:pPr>
        <w:spacing w:after="100"/>
      </w:pPr>
      <w:r>
        <w:rPr>
          <w:rFonts w:ascii="Arial" w:hAnsi="Arial" w:eastAsia="宋体"/>
          <w:b w:val="0"/>
          <w:color w:val="000000"/>
          <w:sz w:val="21"/>
        </w:rPr>
        <w:t>08 实验室检查：症状导向查肝肾血常规等，必要排早期BP或肿瘤；检查项目按问题选择，未做不写正常。</w:t>
      </w:r>
    </w:p>
    <w:p>
      <w:pPr>
        <w:spacing w:after="100"/>
      </w:pPr>
      <w:r>
        <w:rPr>
          <w:rFonts w:ascii="Arial" w:hAnsi="Arial" w:eastAsia="宋体"/>
          <w:b w:val="0"/>
          <w:color w:val="000000"/>
          <w:sz w:val="21"/>
        </w:rPr>
        <w:t>09 皮肤镜或其他辅助检查：围绕症状导向查肝肾血常规等，必要排早期BP或肿瘤选择必要辅查；没有特定指征不常规添加皮肤镜，普通照不当镜图。</w:t>
      </w:r>
    </w:p>
    <w:p>
      <w:pPr>
        <w:spacing w:after="100"/>
      </w:pPr>
      <w:r>
        <w:rPr>
          <w:rFonts w:ascii="Arial" w:hAnsi="Arial" w:eastAsia="宋体"/>
          <w:b w:val="0"/>
          <w:color w:val="000000"/>
          <w:sz w:val="21"/>
        </w:rPr>
        <w:t>10 病理及免疫检查：操作结合抗栓、愈合及照护；不擅停抗栓。HE、DIF、IIF及抗体按实际诊断问题选择，非典型或疑难再评取材；无适应证不强制。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诊断标准：采用可核实的适用临床及专科体系，症状导向查肝肾血常规等，必要排早期BP或肿瘤；未核全文的评分标准不得凭题录复造。</w:t>
      </w:r>
    </w:p>
    <w:p>
      <w:pPr>
        <w:spacing w:after="100"/>
      </w:pPr>
      <w:r>
        <w:rPr>
          <w:rFonts w:ascii="Arial" w:hAnsi="Arial" w:eastAsia="宋体"/>
          <w:b w:val="0"/>
          <w:color w:val="000000"/>
          <w:sz w:val="21"/>
        </w:rPr>
        <w:t>12 诊断依据：逐条将实际干燥瘙痒、紫癜、糜烂或新疱按实查与症状导向查肝肾血常规等，必要排早期BP或肿瘤对应；写本例支持、反对及尚缺证据，保持疑似/初诊/确诊确定度。</w:t>
      </w:r>
    </w:p>
    <w:p>
      <w:pPr>
        <w:spacing w:after="100"/>
      </w:pPr>
      <w:r>
        <w:rPr>
          <w:rFonts w:ascii="Arial" w:hAnsi="Arial" w:eastAsia="宋体"/>
          <w:b w:val="0"/>
          <w:color w:val="000000"/>
          <w:sz w:val="21"/>
        </w:rPr>
        <w:t>13 鉴别诊断：干燥性湿疹、药疹、疥疮、BP、系统性瘙痒。每项基于本例支持、反对和下一步验证，不机械写全部排除。</w:t>
      </w:r>
    </w:p>
    <w:p>
      <w:pPr>
        <w:spacing w:after="100"/>
      </w:pPr>
      <w:r>
        <w:rPr>
          <w:rFonts w:ascii="Arial" w:hAnsi="Arial" w:eastAsia="宋体"/>
          <w:b w:val="0"/>
          <w:color w:val="000000"/>
          <w:sz w:val="21"/>
        </w:rPr>
        <w:t>14 分型分期及严重程度：疾病证据与衰弱照护需求分别评。评分需体系版本、分项、日期和评估者，缺变量不自动算。</w:t>
      </w:r>
    </w:p>
    <w:p>
      <w:pPr>
        <w:spacing w:after="100"/>
      </w:pPr>
      <w:r>
        <w:rPr>
          <w:rFonts w:ascii="Arial" w:hAnsi="Arial" w:eastAsia="宋体"/>
          <w:b w:val="0"/>
          <w:color w:val="000000"/>
          <w:sz w:val="21"/>
        </w:rPr>
        <w:t>15 危急病情识别：感染脱水、药物反应、谵妄及新疱泛发。危险状态联合06，不等待文书齐全才处置。</w:t>
      </w:r>
    </w:p>
    <w:p>
      <w:pPr>
        <w:spacing w:after="100"/>
      </w:pPr>
      <w:r>
        <w:rPr>
          <w:rFonts w:ascii="Arial" w:hAnsi="Arial" w:eastAsia="宋体"/>
          <w:b w:val="0"/>
          <w:color w:val="000000"/>
          <w:sz w:val="21"/>
        </w:rPr>
        <w:t>16 外用治疗：温和护理及薄皮区用药风险。该项为决策知识，患者已用与否及用法必须真实。</w:t>
      </w:r>
    </w:p>
    <w:p>
      <w:pPr>
        <w:spacing w:after="100"/>
      </w:pPr>
      <w:r>
        <w:rPr>
          <w:rFonts w:ascii="Arial" w:hAnsi="Arial" w:eastAsia="宋体"/>
          <w:b w:val="0"/>
          <w:color w:val="000000"/>
          <w:sz w:val="21"/>
        </w:rPr>
        <w:t>17 系统治疗：肾功能、镇静抗胆碱和多药相互作用核实，不统一强效止痒。不得自动填写剂量频次疗程或疗效，联合07核药物状态。</w:t>
      </w:r>
    </w:p>
    <w:p>
      <w:pPr>
        <w:spacing w:after="100"/>
      </w:pPr>
      <w:r>
        <w:rPr>
          <w:rFonts w:ascii="Arial" w:hAnsi="Arial" w:eastAsia="宋体"/>
          <w:b w:val="0"/>
          <w:color w:val="000000"/>
          <w:sz w:val="21"/>
        </w:rPr>
        <w:t>18 皮肤治疗操作：操作结合抗栓、愈合及照护；不擅停抗栓；操作前后按05，拟实施不得写已实施。</w:t>
      </w:r>
    </w:p>
    <w:p>
      <w:pPr>
        <w:spacing w:after="100"/>
      </w:pPr>
      <w:r>
        <w:rPr>
          <w:rFonts w:ascii="Arial" w:hAnsi="Arial" w:eastAsia="宋体"/>
          <w:b w:val="0"/>
          <w:color w:val="000000"/>
          <w:sz w:val="21"/>
        </w:rPr>
        <w:t>19 相关并发症：优先识别感染脱水、药物反应、谵妄及新疱泛发；继发感染、瘢痕及药物反应均要实际证据，风险不等已经发生。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病例特点：【真实病史，重点多药开始停变、认知行动、跌倒营养及照护；当次干燥瘙痒、紫癜、糜烂或新疱按实查】</w:t>
        <w:br/>
        <w:t>初步诊断：【老年特殊皮肤病的实际确定度】</w:t>
        <w:br/>
        <w:t>诊断依据：【实际症状导向查肝肾血常规等，必要排早期BP或肿瘤】</w:t>
        <w:br/>
        <w:t>鉴别诊断：【干燥性湿疹、药疹、疥疮、BP、系统性瘙痒的支持反对缺口】</w:t>
        <w:br/>
        <w:t>诊疗计划：【医师确认的温和护理及薄皮区用药风险及必要检查监测；计划与执行分开】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诉【本日症状变化】，查体见【本日干燥瘙痒、紫癜、糜烂或新疱按实查的实见部分及黏膜全身】，检查【当时可知结果】。目前考虑【诊断及确定度】，实际治疗【真实执行】，本日重点观察【疾病证据与衰弱照护需求分别评】，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今日随【姓名】主治医师查房，患者【真实症状】，查体【当次形态范围】，检查【可知结果】。主治医师分析【老年特殊皮肤病当前活动及真实治疗执行、短期反应】，关注【感染脱水、药物反应、谵妄及新疱泛发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症状导向查肝肾血常规等，必要排早期BP或肿瘤与形态对应、干燥性湿疹、药疹、疥疮、BP、系统性瘙痒的鉴别及疾病证据与衰弱照护需求分别评】，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老年特殊皮肤病疑难证据及系统风险】，就【肾功能、镇静抗胆碱和多药相互作用核实，不统一强效止痒涉及的本例重大决策】提出【真实策略与条件】，长期重点【药物简化和照护计划须真实确认，复查可及性具体化】，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疾病证据与衰弱照护需求分别评的真实变化及安全检查】，医师决定【实际药物或局部方案】由【原方案】调整为【新方案】，原因【证据】，当前处方及执行【分别状态】，监测【本例感染脱水、药物反应、谵妄及新疱泛发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操作结合抗栓、愈合及照护；不擅停抗栓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感染脱水、药物反应、谵妄及新疱泛发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诊疗经过：【症状导向查肝肾血常规等，必要排早期BP或肿瘤的实际结果、药物操作及转归】</w:t>
        <w:br/>
        <w:t>出院诊断：【确定度与版本】</w:t>
        <w:br/>
        <w:t>出院情况：【当次皮损黏膜全身实查】</w:t>
        <w:br/>
        <w:t>医嘱和未决事项：【药物简化和照护计划须真实确认，复查可及性具体化中适用的确认方案及责任】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用药：【本例真实带药、剂量部位用法疗程及停药项】</w:t>
        <w:br/>
        <w:t>护理：【温和护理及薄皮区用药风险中已确认部分】</w:t>
        <w:br/>
        <w:t>复诊及监测：【本例实际项目时点责任】</w:t>
        <w:br/>
        <w:t>警示：【感染脱水、药物反应、谵妄及新疱泛发中需要患者识别的事项】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长期随访：药物简化和照护计划须真实确认，复查可及性具体化。具体项目、复查频率和责任人来自已确认方案，不统一套固定周期。</w:t>
      </w:r>
    </w:p>
    <w:p>
      <w:pPr>
        <w:spacing w:after="100"/>
      </w:pPr>
      <w:r>
        <w:rPr>
          <w:rFonts w:ascii="Arial" w:hAnsi="Arial" w:eastAsia="宋体"/>
          <w:b w:val="0"/>
          <w:color w:val="000000"/>
          <w:sz w:val="21"/>
        </w:rPr>
        <w:t>31 最终质控：重点核对症状导向查肝肾血常规等，必要排早期BP或肿瘤及疾病证据与衰弱照护需求分别评；防止将典型表现当事实、风险当并发症、拟治疗当执行。查房层级与真实意见及代码框经10终审。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参考指南及版本：本组适用依据为R08、R09、R15、R30、R35，正式名称、机构、年份、适用范围、核验日期及核验限制见本文件参考章节。未核原表或说明书不补具体推荐。</w:t>
      </w:r>
    </w:p>
    <w:p>
      <w:bookmarkStart w:id="378" w:name="b378"/>
      <w:pPr>
        <w:pStyle w:val="Heading2"/>
      </w:pPr>
      <w:r>
        <w:t>09 妊娠相关皮肤病及罕见病待查</w:t>
      </w:r>
      <w:bookmarkEnd w:id="378"/>
    </w:p>
    <w:p>
      <w:pPr>
        <w:spacing w:after="100"/>
      </w:pPr>
      <w:r>
        <w:rPr>
          <w:rFonts w:ascii="Arial" w:hAnsi="Arial" w:eastAsia="宋体"/>
          <w:b w:val="0"/>
          <w:color w:val="000000"/>
          <w:sz w:val="21"/>
        </w:rPr>
        <w:t>01 疾病定义：孕期生理病理皮损及罕见疾病均需证据分层。该定义是专业知识，不能代替本例诊断。</w:t>
      </w:r>
    </w:p>
    <w:p>
      <w:pPr>
        <w:spacing w:after="100"/>
      </w:pPr>
      <w:r>
        <w:rPr>
          <w:rFonts w:ascii="Arial" w:hAnsi="Arial" w:eastAsia="宋体"/>
          <w:b w:val="0"/>
          <w:color w:val="000000"/>
          <w:sz w:val="21"/>
        </w:rPr>
        <w:t>02 病因及发病机制：围绕孕期生理病理皮损及罕见疾病均需证据分层采集相关线索；患者病因只写已核证据，未证实时保留可能性。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临床表现：症状、全身受累及变化按实际病史与检查；重点核实孕周、产后、胎儿情况及所有用药。</w:t>
      </w:r>
    </w:p>
    <w:p>
      <w:pPr>
        <w:spacing w:after="100"/>
      </w:pPr>
      <w:r>
        <w:rPr>
          <w:rFonts w:ascii="Arial" w:hAnsi="Arial" w:eastAsia="宋体"/>
          <w:b w:val="0"/>
          <w:color w:val="000000"/>
          <w:sz w:val="21"/>
        </w:rPr>
        <w:t>04 典型皮损形态：部位、孕周相关皮疹水疱、瘙痒及黏膜按实见。典型性只用于鉴别，不自动添加到患者查体。</w:t>
      </w:r>
    </w:p>
    <w:p>
      <w:pPr>
        <w:spacing w:after="100"/>
      </w:pPr>
      <w:r>
        <w:rPr>
          <w:rFonts w:ascii="Arial" w:hAnsi="Arial" w:eastAsia="宋体"/>
          <w:b w:val="0"/>
          <w:color w:val="000000"/>
          <w:sz w:val="21"/>
        </w:rPr>
        <w:t>05 皮损部位及分布：逐病灶记录部位、孕周相关皮疹水疱、瘙痒及黏膜按实见涉及的实际部位侧别、数量排列对称和范围；不补“全身”。</w:t>
      </w:r>
    </w:p>
    <w:p>
      <w:pPr>
        <w:spacing w:after="100"/>
      </w:pPr>
      <w:r>
        <w:rPr>
          <w:rFonts w:ascii="Arial" w:hAnsi="Arial" w:eastAsia="宋体"/>
          <w:b w:val="0"/>
          <w:color w:val="000000"/>
          <w:sz w:val="21"/>
        </w:rPr>
        <w:t>06 病史采集重点：孕周、产后、胎儿情况及所有用药；保留发病与发现、首次与复发、用药计划与执行的差别。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专科检查：按03实查原发继发皮损、黏膜、毛发甲及必要触诊，围绕孕周和母胎危险单独管理；罕见病临床待查保留记录而不强行检查无关项目。</w:t>
      </w:r>
    </w:p>
    <w:p>
      <w:pPr>
        <w:spacing w:after="100"/>
      </w:pPr>
      <w:r>
        <w:rPr>
          <w:rFonts w:ascii="Arial" w:hAnsi="Arial" w:eastAsia="宋体"/>
          <w:b w:val="0"/>
          <w:color w:val="000000"/>
          <w:sz w:val="21"/>
        </w:rPr>
        <w:t>08 实验室检查：针对性肝胆指标及必要病理免疫，产科评估实际记录；检查项目按问题选择，未做不写正常。</w:t>
      </w:r>
    </w:p>
    <w:p>
      <w:pPr>
        <w:spacing w:after="100"/>
      </w:pPr>
      <w:r>
        <w:rPr>
          <w:rFonts w:ascii="Arial" w:hAnsi="Arial" w:eastAsia="宋体"/>
          <w:b w:val="0"/>
          <w:color w:val="000000"/>
          <w:sz w:val="21"/>
        </w:rPr>
        <w:t>09 皮肤镜或其他辅助检查：围绕针对性肝胆指标及必要病理免疫，产科评估实际记录选择必要辅查；没有特定指征不常规添加皮肤镜，普通照不当镜图。</w:t>
      </w:r>
    </w:p>
    <w:p>
      <w:pPr>
        <w:spacing w:after="100"/>
      </w:pPr>
      <w:r>
        <w:rPr>
          <w:rFonts w:ascii="Arial" w:hAnsi="Arial" w:eastAsia="宋体"/>
          <w:b w:val="0"/>
          <w:color w:val="000000"/>
          <w:sz w:val="21"/>
        </w:rPr>
        <w:t>10 病理及免疫检查：必要操作需产科及相关团队个体评估。HE、DIF、IIF及抗体按实际诊断问题选择，非典型或疑难再评取材；无适应证不强制。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诊断标准：采用可核实的适用临床及专科体系，针对性肝胆指标及必要病理免疫，产科评估实际记录；未核全文的评分标准不得凭题录复造。</w:t>
      </w:r>
    </w:p>
    <w:p>
      <w:pPr>
        <w:spacing w:after="100"/>
      </w:pPr>
      <w:r>
        <w:rPr>
          <w:rFonts w:ascii="Arial" w:hAnsi="Arial" w:eastAsia="宋体"/>
          <w:b w:val="0"/>
          <w:color w:val="000000"/>
          <w:sz w:val="21"/>
        </w:rPr>
        <w:t>12 诊断依据：逐条将实际部位、孕周相关皮疹水疱、瘙痒及黏膜按实见与针对性肝胆指标及必要病理免疫，产科评估实际记录对应；写本例支持、反对及尚缺证据，保持疑似/初诊/确诊确定度。</w:t>
      </w:r>
    </w:p>
    <w:p>
      <w:pPr>
        <w:spacing w:after="100"/>
      </w:pPr>
      <w:r>
        <w:rPr>
          <w:rFonts w:ascii="Arial" w:hAnsi="Arial" w:eastAsia="宋体"/>
          <w:b w:val="0"/>
          <w:color w:val="000000"/>
          <w:sz w:val="21"/>
        </w:rPr>
        <w:t>13 鉴别诊断：妊娠特应性皮疹、妊娠类天疱疮、胆汁淤积及药疹。每项基于本例支持、反对和下一步验证，不机械写全部排除。</w:t>
      </w:r>
    </w:p>
    <w:p>
      <w:pPr>
        <w:spacing w:after="100"/>
      </w:pPr>
      <w:r>
        <w:rPr>
          <w:rFonts w:ascii="Arial" w:hAnsi="Arial" w:eastAsia="宋体"/>
          <w:b w:val="0"/>
          <w:color w:val="000000"/>
          <w:sz w:val="21"/>
        </w:rPr>
        <w:t>14 分型分期及严重程度：孕周和母胎危险单独管理；罕见病临床待查保留。评分需体系版本、分项、日期和评估者，缺变量不自动算。</w:t>
      </w:r>
    </w:p>
    <w:p>
      <w:pPr>
        <w:spacing w:after="100"/>
      </w:pPr>
      <w:r>
        <w:rPr>
          <w:rFonts w:ascii="Arial" w:hAnsi="Arial" w:eastAsia="宋体"/>
          <w:b w:val="0"/>
          <w:color w:val="000000"/>
          <w:sz w:val="21"/>
        </w:rPr>
        <w:t>15 危急病情识别：掌跖明显瘙痒伴肝胆异常、广泛脓疱水疱及胎动变化及时产科。危险状态联合06，不等待文书齐全才处置。</w:t>
      </w:r>
    </w:p>
    <w:p>
      <w:pPr>
        <w:spacing w:after="100"/>
      </w:pPr>
      <w:r>
        <w:rPr>
          <w:rFonts w:ascii="Arial" w:hAnsi="Arial" w:eastAsia="宋体"/>
          <w:b w:val="0"/>
          <w:color w:val="000000"/>
          <w:sz w:val="21"/>
        </w:rPr>
        <w:t>16 外用治疗：外用药逐药核妊娠哺乳适用范围。该项为决策知识，患者已用与否及用法必须真实。</w:t>
      </w:r>
    </w:p>
    <w:p>
      <w:pPr>
        <w:spacing w:after="100"/>
      </w:pPr>
      <w:r>
        <w:rPr>
          <w:rFonts w:ascii="Arial" w:hAnsi="Arial" w:eastAsia="宋体"/>
          <w:b w:val="0"/>
          <w:color w:val="000000"/>
          <w:sz w:val="21"/>
        </w:rPr>
        <w:t>17 系统治疗：系统药不得默认安全，维A酸等风险需明确，母胎利益由医师权衡。不得自动填写剂量频次疗程或疗效，联合07核药物状态。</w:t>
      </w:r>
    </w:p>
    <w:p>
      <w:pPr>
        <w:spacing w:after="100"/>
      </w:pPr>
      <w:r>
        <w:rPr>
          <w:rFonts w:ascii="Arial" w:hAnsi="Arial" w:eastAsia="宋体"/>
          <w:b w:val="0"/>
          <w:color w:val="000000"/>
          <w:sz w:val="21"/>
        </w:rPr>
        <w:t>18 皮肤治疗操作：必要操作需产科及相关团队个体评估；操作前后按05，拟实施不得写已实施。</w:t>
      </w:r>
    </w:p>
    <w:p>
      <w:pPr>
        <w:spacing w:after="100"/>
      </w:pPr>
      <w:r>
        <w:rPr>
          <w:rFonts w:ascii="Arial" w:hAnsi="Arial" w:eastAsia="宋体"/>
          <w:b w:val="0"/>
          <w:color w:val="000000"/>
          <w:sz w:val="21"/>
        </w:rPr>
        <w:t>19 相关并发症：优先识别掌跖明显瘙痒伴肝胆异常、广泛脓疱水疱及胎动变化及时产科；继发感染、瘢痕及药物反应均要实际证据，风险不等已经发生。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病例特点：【真实病史，重点孕周、产后、胎儿情况及所有用药；当次部位、孕周相关皮疹水疱、瘙痒及黏膜按实见】</w:t>
        <w:br/>
        <w:t>初步诊断：【妊娠相关皮肤病及罕见病待查的实际确定度】</w:t>
        <w:br/>
        <w:t>诊断依据：【实际针对性肝胆指标及必要病理免疫，产科评估实际记录】</w:t>
        <w:br/>
        <w:t>鉴别诊断：【妊娠特应性皮疹、妊娠类天疱疮、胆汁淤积及药疹的支持反对缺口】</w:t>
        <w:br/>
        <w:t>诊疗计划：【医师确认的外用药逐药核妊娠哺乳适用范围及必要检查监测；计划与执行分开】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部位、孕周相关皮疹水疱、瘙痒及黏膜按实见的实见部分及黏膜全身】，检查【当时可知结果】。目前考虑【诊断及确定度】，实际治疗【真实执行】，本日重点观察【孕周和母胎危险单独管理；罕见病临床待查保留】，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妊娠相关皮肤病及罕见病待查当前活动及真实治疗执行、短期反应】，关注【掌跖明显瘙痒伴肝胆异常、广泛脓疱水疱及胎动变化及时产科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针对性肝胆指标及必要病理免疫，产科评估实际记录与形态对应、妊娠特应性皮疹、妊娠类天疱疮、胆汁淤积及药疹的鉴别及孕周和母胎危险单独管理；罕见病临床待查保留】，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妊娠相关皮肤病及罕见病待查疑难证据及系统风险】，就【系统药不得默认安全，维A酸等风险需明确，母胎利益由医师权衡涉及的本例重大决策】提出【真实策略与条件】，长期重点【母胎及产后复发跟进；罕见病转诊不编分子结果】，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孕周和母胎危险单独管理；罕见病临床待查保留的真实变化及安全检查】，医师决定【实际药物或局部方案】由【原方案】调整为【新方案】，原因【证据】，当前处方及执行【分别状态】，监测【本例掌跖明显瘙痒伴肝胆异常、广泛脓疱水疱及胎动变化及时产科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必要操作需产科及相关团队个体评估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掌跖明显瘙痒伴肝胆异常、广泛脓疱水疱及胎动变化及时产科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诊疗经过：【针对性肝胆指标及必要病理免疫，产科评估实际记录的实际结果、药物操作及转归】</w:t>
        <w:br/>
        <w:t>出院诊断：【确定度与版本】</w:t>
        <w:br/>
        <w:t>出院情况：【当次皮损黏膜全身实查】</w:t>
        <w:br/>
        <w:t>医嘱和未决事项：【母胎及产后复发跟进；罕见病转诊不编分子结果中适用的确认方案及责任】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护理：【外用药逐药核妊娠哺乳适用范围中已确认部分】</w:t>
        <w:br/>
        <w:t>复诊及监测：【本例实际项目时点责任】</w:t>
        <w:br/>
        <w:t>警示：【掌跖明显瘙痒伴肝胆异常、广泛脓疱水疱及胎动变化及时产科中需要患者识别的事项】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长期随访：母胎及产后复发跟进；罕见病转诊不编分子结果。具体项目、复查频率和责任人来自已确认方案，不统一套固定周期。</w:t>
      </w:r>
    </w:p>
    <w:p>
      <w:pPr>
        <w:spacing w:after="100"/>
      </w:pPr>
      <w:r>
        <w:rPr>
          <w:rFonts w:ascii="Arial" w:hAnsi="Arial" w:eastAsia="宋体"/>
          <w:b w:val="0"/>
          <w:color w:val="000000"/>
          <w:sz w:val="21"/>
        </w:rPr>
        <w:t>31 最终质控：重点核对针对性肝胆指标及必要病理免疫，产科评估实际记录及孕周和母胎危险单独管理；罕见病临床待查保留；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参考指南及版本：本组适用依据为R08、R09、R15、R30、R35，正式名称、机构、年份、适用范围、核验日期及核验限制见本文件参考章节。未核原表或说明书不补具体推荐。</w:t>
      </w:r>
    </w:p>
    <w:p>
      <w:bookmarkStart w:id="421" w:name="b421"/>
      <w:pPr>
        <w:pStyle w:val="Heading1"/>
      </w:pPr>
      <w:r>
        <w:t>真实性限制 常见错误与质控</w:t>
      </w:r>
      <w:bookmarkEnd w:id="421"/>
    </w:p>
    <w:p>
      <w:pPr>
        <w:spacing w:after="100"/>
      </w:pPr>
      <w:r>
        <w:rPr>
          <w:rFonts w:ascii="Arial" w:hAnsi="Arial" w:eastAsia="宋体"/>
          <w:b w:val="0"/>
          <w:color w:val="000000"/>
          <w:sz w:val="22"/>
        </w:rPr>
        <w:t>逐项核对患者和本次住院、病灶部位侧别、资料可知时间、证据确定度、检查标本对应、药物和操作执行、当日复评及文书格式。关键冲突阻断净稿；非关键缺项可省略，不填写“未见异常”掩盖缺失。原文中的可能、考虑、倾向及不能排除保留。</w:t>
      </w:r>
    </w:p>
    <w:p>
      <w:pPr>
        <w:spacing w:after="100"/>
      </w:pPr>
      <w:r>
        <w:rPr>
          <w:rFonts w:ascii="Arial" w:hAnsi="Arial" w:eastAsia="宋体"/>
          <w:b w:val="0"/>
          <w:color w:val="000000"/>
          <w:sz w:val="22"/>
        </w:rPr>
        <w:t>常见错误：旧照片充当今日查体；皮肤镜怀疑当病理确诊；阳性培养当所有皮损病因；抗体阳性当全部确诊；拟治疗当已完成；术后默认创面好；未实际查房即代写上级意见。上述均触发修订来源和重新审查。</w:t>
      </w:r>
    </w:p>
    <w:p>
      <w:bookmarkStart w:id="424" w:name="b424"/>
      <w:pPr>
        <w:pStyle w:val="Heading1"/>
      </w:pPr>
      <w:r>
        <w:t>模块协同与版本维护</w:t>
      </w:r>
      <w:bookmarkEnd w:id="424"/>
    </w:p>
    <w:p>
      <w:pPr>
        <w:spacing w:after="100"/>
      </w:pPr>
      <w:r>
        <w:rPr>
          <w:rFonts w:ascii="Arial" w:hAnsi="Arial" w:eastAsia="宋体"/>
          <w:b w:val="0"/>
          <w:color w:val="000000"/>
          <w:sz w:val="22"/>
        </w:rPr>
        <w:t>统一顺序为00识别→01约束→11核对状态→02至09按任务选用→101至108按疾病选用→10终审→合格后输出。多病共存分别论证；联合模块不得重复生成相互矛盾医嘱。</w:t>
      </w:r>
    </w:p>
    <w:p>
      <w:pPr>
        <w:spacing w:after="100"/>
      </w:pPr>
      <w:r>
        <w:rPr>
          <w:rFonts w:ascii="Arial" w:hAnsi="Arial" w:eastAsia="宋体"/>
          <w:b w:val="0"/>
          <w:color w:val="000000"/>
          <w:sz w:val="22"/>
        </w:rPr>
        <w:t>版本V1.0；编制及检索截止2026年10月30日。维护人由医院指定皮肤科、病理检验、药学和病案质控负责人；至少季度复查题录及当前说明书，重要安全信息或正式更新时立即修订。修订保留版本、变更条目、依据和受影响场景回测，不静默覆盖已签病历。</w:t>
      </w:r>
    </w:p>
    <w:p>
      <w:bookmarkStart w:id="427" w:name="b427"/>
      <w:pPr>
        <w:pStyle w:val="Heading1"/>
      </w:pPr>
      <w:r>
        <w:t>参考指南及核验范围</w:t>
      </w:r>
      <w:bookmarkEnd w:id="427"/>
    </w:p>
    <w:p>
      <w:pPr>
        <w:spacing w:after="100"/>
      </w:pPr>
      <w:r>
        <w:rPr>
          <w:rFonts w:ascii="Arial" w:hAnsi="Arial" w:eastAsia="宋体"/>
          <w:b w:val="0"/>
          <w:color w:val="000000"/>
          <w:sz w:val="22"/>
        </w:rPr>
        <w:t>以下仅记录本次实际可获得范围。正式发表、注册、题录摘要、可读全文、未核原文分开；未完整核验的条款、推荐等级、药物剂量、批准年龄及院内SOP均不补造。引用不表示本库已获临床认证；检索未见更新不等于绝对最新。</w:t>
      </w:r>
    </w:p>
    <w:p>
      <w:pPr>
        <w:spacing w:after="100"/>
      </w:pPr>
      <w:r>
        <w:rPr>
          <w:rFonts w:ascii="Arial" w:hAnsi="Arial" w:eastAsia="宋体"/>
          <w:b w:val="0"/>
          <w:color w:val="000000"/>
          <w:sz w:val="22"/>
        </w:rPr>
        <w:t>R08 中国儿童特应性皮炎预防、治疗与管理实践共识（2026版）。发布机构：中华医学会皮肤性病学分会及儿科学分会等联合组织；年份或版本：2026；适用：儿童AD预防治疗管理；核验日期：2026-10-30。核验结果：原出版平台题名与正式发表线索可核，全文受访问限制；不编造具体条款。</w:t>
      </w:r>
    </w:p>
    <w:p>
      <w:pPr>
        <w:spacing w:after="100"/>
      </w:pPr>
      <w:r>
        <w:rPr>
          <w:rFonts w:ascii="Arial" w:hAnsi="Arial" w:eastAsia="宋体"/>
          <w:b w:val="0"/>
          <w:color w:val="000000"/>
          <w:sz w:val="22"/>
        </w:rPr>
        <w:t>https:/​/​rs.yiigle.com/​cmaid/​1687879</w:t>
      </w:r>
    </w:p>
    <w:p>
      <w:pPr>
        <w:spacing w:after="100"/>
      </w:pPr>
      <w:r>
        <w:rPr>
          <w:rFonts w:ascii="Arial" w:hAnsi="Arial" w:eastAsia="宋体"/>
          <w:b w:val="0"/>
          <w:color w:val="000000"/>
          <w:sz w:val="22"/>
        </w:rPr>
        <w:t>R09 中国特应性皮炎诊疗指南（2020版）。发布机构：中华医学会皮肤性病学分会免疫学组等；年份或版本：2020；适用：AD临床诊断与综合评估；核验日期：2026-10-30。核验结果：原出版平台全文可见；与儿童2026共识及EuroGuiDerm分别标版本。</w:t>
      </w:r>
    </w:p>
    <w:p>
      <w:pPr>
        <w:spacing w:after="100"/>
      </w:pPr>
      <w:r>
        <w:rPr>
          <w:rFonts w:ascii="Arial" w:hAnsi="Arial" w:eastAsia="宋体"/>
          <w:b w:val="0"/>
          <w:color w:val="000000"/>
          <w:sz w:val="22"/>
        </w:rPr>
        <w:t>https:/​/​cmab.yiigle.com/​uploads/​guide_​html/​中国特应性皮炎诊疗指南（2020版）.html</w:t>
      </w:r>
    </w:p>
    <w:p>
      <w:pPr>
        <w:spacing w:after="100"/>
      </w:pPr>
      <w:r>
        <w:rPr>
          <w:rFonts w:ascii="Arial" w:hAnsi="Arial" w:eastAsia="宋体"/>
          <w:b w:val="0"/>
          <w:color w:val="000000"/>
          <w:sz w:val="22"/>
        </w:rPr>
        <w:t>R15 白癜风诊疗共识（2021版）。发布机构：中国中西医结合学会皮肤性病专业委员会色素病学组等；年份或版本：2021；适用：白癜风分型活动度及管理；核验日期：2026-10-30。核验结果：原刊影印件可见；发布期刊年份和版本年份分别保留。</w:t>
      </w:r>
    </w:p>
    <w:p>
      <w:pPr>
        <w:spacing w:after="100"/>
      </w:pPr>
      <w:r>
        <w:rPr>
          <w:rFonts w:ascii="Arial" w:hAnsi="Arial" w:eastAsia="宋体"/>
          <w:b w:val="0"/>
          <w:color w:val="000000"/>
          <w:sz w:val="22"/>
        </w:rPr>
        <w:t>https:/​/​xa3yuanlib.yuntsg.com/​ueditor/​jsp/​upload/​file/​20220907/​1662557079401029695.pdf</w:t>
      </w:r>
    </w:p>
    <w:p>
      <w:pPr>
        <w:spacing w:after="100"/>
      </w:pPr>
      <w:r>
        <w:rPr>
          <w:rFonts w:ascii="Arial" w:hAnsi="Arial" w:eastAsia="宋体"/>
          <w:b w:val="0"/>
          <w:color w:val="000000"/>
          <w:sz w:val="22"/>
        </w:rPr>
        <w:t>R30 皮肤镜 皮肤病理免疫荧光 标本转运及药品说明书核验任务。发布机构：本院病理科检验科药学部与设备管理部门；年份或版本：院内有效版本待接入；适用：皮肤镜、HE/DIF分标本、药品批准范围及设备参数；核验日期：2026-10-30。核验结果：未获得本院SOP及具体药品说明书；作为待核任务，不是已发表指南，禁止据此填参数与介质。</w:t>
      </w:r>
    </w:p>
    <w:p>
      <w:pPr>
        <w:spacing w:after="100"/>
      </w:pPr>
      <w:r>
        <w:rPr>
          <w:rFonts w:ascii="Arial" w:hAnsi="Arial" w:eastAsia="宋体"/>
          <w:b w:val="0"/>
          <w:color w:val="000000"/>
          <w:sz w:val="22"/>
        </w:rPr>
        <w:t>https:/​/​www.nmpa.gov.cn/​</w:t>
      </w:r>
    </w:p>
    <w:p>
      <w:pPr>
        <w:spacing w:after="100"/>
      </w:pPr>
      <w:r>
        <w:rPr>
          <w:rFonts w:ascii="Arial" w:hAnsi="Arial" w:eastAsia="宋体"/>
          <w:b w:val="0"/>
          <w:color w:val="000000"/>
          <w:sz w:val="22"/>
        </w:rPr>
        <w:t>R35 86个罕见病病种诊疗指南（2025年版）。发布机构：国家卫生健康委员会办公厅；年份或版本：2025；适用：所列罕见病专病内容，不能推及所有罕见皮肤病；核验日期：2026-10-30。核验结果：官方发布通知和附件可核；仅按实际收录疾病选章，不外推所有遗传病。</w:t>
      </w:r>
    </w:p>
    <w:p>
      <w:pPr>
        <w:spacing w:after="100"/>
      </w:pPr>
      <w:r>
        <w:rPr>
          <w:rFonts w:ascii="Arial" w:hAnsi="Arial" w:eastAsia="宋体"/>
          <w:b w:val="0"/>
          <w:color w:val="000000"/>
          <w:sz w:val="22"/>
        </w:rPr>
        <w:t>https:/​/​www.nhc.gov.cn/​yzygj/​c100068/​202507/​5b3f41180a42465eb9eec34597bacaf2.shtml</w:t>
      </w:r>
    </w:p>
    <w:p>
      <w:bookmarkStart w:id="439" w:name="b439"/>
      <w:pPr>
        <w:pStyle w:val="Heading1"/>
      </w:pPr>
      <w:r>
        <w:t>虚构病例示例</w:t>
      </w:r>
      <w:bookmarkEnd w:id="439"/>
    </w:p>
    <w:p>
      <w:pPr>
        <w:spacing w:after="100"/>
      </w:pPr>
      <w:r>
        <w:rPr>
          <w:rFonts w:ascii="Arial" w:hAnsi="Arial" w:eastAsia="宋体"/>
          <w:b w:val="0"/>
          <w:color w:val="000000"/>
          <w:sz w:val="22"/>
        </w:rPr>
        <w:t>以下病例完全虚构，仅供规则演示，不得导入真实病例。患者TEST107、住院E01，日期2026年10月30日，事实限定如下。</w:t>
      </w:r>
    </w:p>
    <w:p>
      <w:pPr>
        <w:keepNext/>
        <w:spacing w:after="100"/>
      </w:pPr>
      <w:r>
        <w:rPr>
          <w:rFonts w:ascii="Arial" w:hAnsi="Arial" w:eastAsia="宋体"/>
          <w:b w:val="0"/>
          <w:color w:val="000000"/>
          <w:sz w:val="22"/>
        </w:rPr>
        <w:t>2026年10月30日 09:00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双手背脱色斑，患者述近期新增斑，Wood灯未做；医师拟评估光疗。临床考虑白癜风进展可能，需核实动态证据及治疗适应性，拟光疗不产生实际剂量或疗效。</w:t>
      </w:r>
    </w:p>
    <w:p>
      <w:pPr>
        <w:spacing w:after="140"/>
      </w:pPr>
      <w:r>
        <w:rPr>
          <w:rFonts w:ascii="Arial" w:hAnsi="Arial" w:eastAsia="宋体"/>
          <w:b w:val="0"/>
          <w:color w:val="000000"/>
          <w:sz w:val="22"/>
        </w:rPr>
        <w:t>```</w:t>
      </w:r>
    </w:p>
    <w:sectPr w:rsidR="00FC693F" w:rsidRPr="0006063C" w:rsidSect="00034616">
      <w:headerReference w:type="default" r:id="rId9"/>
      <w:footerReference w:type="default" r:id="rId10"/>
      <w:pgSz w:w="12240" w:h="15840"/>
      <w:pgMar w:top="1152" w:right="1224" w:bottom="1152" w:left="1224"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b w:val="0"/>
        <w:color w:val="000000"/>
        <w:sz w:val="18"/>
      </w:rPr>
      <w:t xml:space="preserve">第 </w:t>
    </w:r>
    <w:r>
      <w:fldChar w:fldCharType="begin"/>
    </w:r>
    <w:r>
      <w:instrText xml:space="preserve"> PAGE </w:instrText>
    </w:r>
    <w:r>
      <w:fldChar w:fldCharType="separate"/>
    </w:r>
    <w:r>
      <w:t>1</w:t>
    </w:r>
    <w:r>
      <w:fldChar w:fldCharType="end"/>
    </w:r>
    <w:r>
      <w:rPr>
        <w:rFonts w:ascii="Arial" w:hAnsi="Arial" w:eastAsia="宋体"/>
        <w:b w:val="0"/>
        <w:color w:val="000000"/>
        <w:sz w:val="18"/>
      </w:rPr>
      <w:t xml:space="preserve"> 页  共 </w:t>
    </w:r>
    <w:r>
      <w:fldChar w:fldCharType="begin"/>
    </w:r>
    <w:r>
      <w:instrText xml:space="preserve"> NUMPAGES </w:instrText>
    </w:r>
    <w:r>
      <w:fldChar w:fldCharType="separate"/>
    </w:r>
    <w:r>
      <w:t>1</w:t>
    </w:r>
    <w:r>
      <w:fldChar w:fldCharType="end"/>
    </w:r>
    <w:r>
      <w:rPr>
        <w:rFonts w:ascii="Arial" w:hAnsi="Arial" w:eastAsia="宋体"/>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宋体"/>
        <w:b w:val="0"/>
        <w:color w:val="000000"/>
        <w:sz w:val="18"/>
      </w:rPr>
      <w:t>皮肤科AI病历书写系统 V1.0  |  模块 107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pPr>
    <w:rPr>
      <w:rFonts w:ascii="Arial" w:hAnsi="Arial"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Arial" w:hAnsi="Arial"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宋体"/>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107_白癜风色素障碍遗传性及儿童特殊皮肤病模板库</dc:title>
  <dc:subject>皮肤科医学文书规则与模板</dc:subject>
  <dc:creator>皮肤科AI病历规则库</dc:creator>
  <cp:keywords>V1.0 2026-10-30 医师审核</cp:keywords>
  <dc:description>generated by python-docx</dc:description>
  <cp:lastModifiedBy/>
  <cp:revision>1</cp:revision>
  <dcterms:created xsi:type="dcterms:W3CDTF">2013-12-23T23:15:00Z</dcterms:created>
  <dcterms:modified xsi:type="dcterms:W3CDTF">2013-12-23T23:15:00Z</dcterms:modified>
  <cp:category/>
</cp:coreProperties>
</file>