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pPr>
      <w:r>
        <w:rPr>
          <w:rFonts w:ascii="Arial" w:hAnsi="Arial" w:eastAsia="宋体"/>
          <w:b/>
          <w:color w:val="000000"/>
          <w:sz w:val="44"/>
        </w:rPr>
        <w:t>108 性传播感染及生殖器皮肤黏膜疾病模板库</w:t>
      </w:r>
    </w:p>
    <w:p>
      <w:pPr>
        <w:pStyle w:val="Subtitle"/>
        <w:spacing w:after="100"/>
      </w:pPr>
      <w:r>
        <w:rPr>
          <w:rFonts w:ascii="Arial" w:hAnsi="Arial" w:eastAsia="宋体"/>
          <w:b w:val="0"/>
          <w:color w:val="000000"/>
          <w:sz w:val="22"/>
        </w:rPr>
        <w:t>皮肤科AI病历书写系统 V1.0</w:t>
      </w:r>
    </w:p>
    <w:p>
      <w:pPr>
        <w:spacing w:after="100"/>
      </w:pPr>
      <w:r>
        <w:rPr>
          <w:rFonts w:ascii="Arial" w:hAnsi="Arial" w:eastAsia="宋体"/>
          <w:b w:val="0"/>
          <w:color w:val="000000"/>
          <w:sz w:val="22"/>
        </w:rPr>
        <w:t>文件编号 108    所属层级 专病层</w:t>
      </w:r>
    </w:p>
    <w:p>
      <w:pPr>
        <w:spacing w:after="100"/>
      </w:pPr>
      <w:r>
        <w:rPr>
          <w:rFonts w:ascii="Arial" w:hAnsi="Arial" w:eastAsia="宋体"/>
          <w:b w:val="0"/>
          <w:color w:val="000000"/>
          <w:sz w:val="22"/>
        </w:rPr>
        <w:t>编制与检索截止 2026年10月30日</w:t>
      </w:r>
    </w:p>
    <w:p>
      <w:pPr>
        <w:spacing w:after="100"/>
      </w:pPr>
      <w:r>
        <w:rPr>
          <w:rFonts w:ascii="Arial" w:hAnsi="Arial" w:eastAsia="宋体"/>
          <w:b w:val="0"/>
          <w:color w:val="000000"/>
          <w:sz w:val="22"/>
        </w:rPr>
        <w:t>用途 真实病例文书辅助拟稿 连续记录及医师质控</w:t>
      </w:r>
    </w:p>
    <w:p>
      <w:pPr>
        <w:spacing w:after="100"/>
      </w:pPr>
      <w:r>
        <w:rPr>
          <w:rFonts w:ascii="Arial" w:hAnsi="Arial" w:eastAsia="宋体"/>
          <w:b w:val="0"/>
          <w:color w:val="000000"/>
          <w:sz w:val="22"/>
        </w:rPr>
        <w:t>责任边界 本规则库不替代实际诊断 治疗 操作 知情同意及医师签名</w:t>
      </w:r>
    </w:p>
    <w:p>
      <w:pPr>
        <w:spacing w:after="100"/>
      </w:pPr>
      <w:r>
        <w:rPr>
          <w:rFonts w:ascii="Arial" w:hAnsi="Arial" w:eastAsia="宋体"/>
          <w:b w:val="0"/>
          <w:color w:val="000000"/>
          <w:sz w:val="22"/>
        </w:rPr>
        <w:t>本模块涵盖性传播感染及生殖器皮肤黏膜疾病模板库。使用时先核患者及本次住院、真实证据与执行状态，再按任务读取相关章节。</w:t>
      </w:r>
    </w:p>
    <w:p>
      <w:pPr>
        <w:spacing w:after="100"/>
      </w:pPr>
      <w:r>
        <w:rPr>
          <w:rFonts w:ascii="Arial" w:hAnsi="Arial" w:eastAsia="宋体"/>
          <w:b w:val="0"/>
          <w:color w:val="000000"/>
          <w:sz w:val="22"/>
        </w:rPr>
        <w:t>指南核验范围和测试边界均在正文列明；模板变量和虚构病例不得复制进真实病历。</w:t>
      </w:r>
    </w:p>
    <w:p>
      <w:r>
        <w:br w:type="page"/>
      </w:r>
    </w:p>
    <w:p>
      <w:pPr>
        <w:pStyle w:val="Heading1"/>
      </w:pPr>
      <w:r>
        <w:t>目录</w:t>
      </w:r>
    </w:p>
    <w:p>
      <w:pPr>
        <w:spacing w:after="40"/>
        <w:ind w:left="0"/>
      </w:pPr>
      <w:hyperlink w:anchor="b0">
        <w:r>
          <w:rPr>
            <w:sz w:val="20"/>
          </w:rPr>
          <w:t>模块使用说明</w:t>
        </w:r>
      </w:hyperlink>
    </w:p>
    <w:p>
      <w:pPr>
        <w:spacing w:after="40"/>
        <w:ind w:left="0"/>
      </w:pPr>
      <w:hyperlink w:anchor="b4">
        <w:r>
          <w:rPr>
            <w:sz w:val="20"/>
          </w:rPr>
          <w:t>正式医学文书输出规范</w:t>
        </w:r>
      </w:hyperlink>
    </w:p>
    <w:p>
      <w:pPr>
        <w:spacing w:after="40"/>
        <w:ind w:left="0"/>
      </w:pPr>
      <w:hyperlink w:anchor="b7">
        <w:r>
          <w:rPr>
            <w:sz w:val="20"/>
          </w:rPr>
          <w:t>疾病覆盖与分支调用</w:t>
        </w:r>
      </w:hyperlink>
    </w:p>
    <w:p>
      <w:pPr>
        <w:spacing w:after="40"/>
        <w:ind w:left="0"/>
      </w:pPr>
      <w:hyperlink w:anchor="b29">
        <w:r>
          <w:rPr>
            <w:sz w:val="20"/>
          </w:rPr>
          <w:t>亚型及特殊情境的差异化规则</w:t>
        </w:r>
      </w:hyperlink>
    </w:p>
    <w:p>
      <w:pPr>
        <w:spacing w:after="40"/>
        <w:ind w:left="230"/>
      </w:pPr>
      <w:hyperlink w:anchor="b36">
        <w:r>
          <w:rPr>
            <w:sz w:val="20"/>
          </w:rPr>
          <w:t>01 梅毒及分期管理</w:t>
        </w:r>
      </w:hyperlink>
    </w:p>
    <w:p>
      <w:pPr>
        <w:spacing w:after="40"/>
        <w:ind w:left="230"/>
      </w:pPr>
      <w:hyperlink w:anchor="b79">
        <w:r>
          <w:rPr>
            <w:sz w:val="20"/>
          </w:rPr>
          <w:t>02 淋病</w:t>
        </w:r>
      </w:hyperlink>
    </w:p>
    <w:p>
      <w:pPr>
        <w:spacing w:after="40"/>
        <w:ind w:left="230"/>
      </w:pPr>
      <w:hyperlink w:anchor="b122">
        <w:r>
          <w:rPr>
            <w:sz w:val="20"/>
          </w:rPr>
          <w:t>03 生殖道衣原体及其他性传播感染</w:t>
        </w:r>
      </w:hyperlink>
    </w:p>
    <w:p>
      <w:pPr>
        <w:spacing w:after="40"/>
        <w:ind w:left="230"/>
      </w:pPr>
      <w:hyperlink w:anchor="b165">
        <w:r>
          <w:rPr>
            <w:sz w:val="20"/>
          </w:rPr>
          <w:t>04 生殖器疱疹</w:t>
        </w:r>
      </w:hyperlink>
    </w:p>
    <w:p>
      <w:pPr>
        <w:spacing w:after="40"/>
        <w:ind w:left="230"/>
      </w:pPr>
      <w:hyperlink w:anchor="b208">
        <w:r>
          <w:rPr>
            <w:sz w:val="20"/>
          </w:rPr>
          <w:t>05 生殖器HPV及尖锐湿疣</w:t>
        </w:r>
      </w:hyperlink>
    </w:p>
    <w:p>
      <w:pPr>
        <w:spacing w:after="40"/>
        <w:ind w:left="230"/>
      </w:pPr>
      <w:hyperlink w:anchor="b251">
        <w:r>
          <w:rPr>
            <w:sz w:val="20"/>
          </w:rPr>
          <w:t>06 HIV相关皮肤表现</w:t>
        </w:r>
      </w:hyperlink>
    </w:p>
    <w:p>
      <w:pPr>
        <w:spacing w:after="40"/>
        <w:ind w:left="230"/>
      </w:pPr>
      <w:hyperlink w:anchor="b294">
        <w:r>
          <w:rPr>
            <w:sz w:val="20"/>
          </w:rPr>
          <w:t>07 生殖器皮炎湿疹及慢性炎症</w:t>
        </w:r>
      </w:hyperlink>
    </w:p>
    <w:p>
      <w:pPr>
        <w:spacing w:after="40"/>
        <w:ind w:left="230"/>
      </w:pPr>
      <w:hyperlink w:anchor="b337">
        <w:r>
          <w:rPr>
            <w:sz w:val="20"/>
          </w:rPr>
          <w:t>08 生殖器皮损待查及报告转诊</w:t>
        </w:r>
      </w:hyperlink>
    </w:p>
    <w:p>
      <w:pPr>
        <w:spacing w:after="40"/>
        <w:ind w:left="0"/>
      </w:pPr>
      <w:hyperlink w:anchor="b380">
        <w:r>
          <w:rPr>
            <w:sz w:val="20"/>
          </w:rPr>
          <w:t>真实性限制 常见错误与质控</w:t>
        </w:r>
      </w:hyperlink>
    </w:p>
    <w:p>
      <w:pPr>
        <w:spacing w:after="40"/>
        <w:ind w:left="0"/>
      </w:pPr>
      <w:hyperlink w:anchor="b383">
        <w:r>
          <w:rPr>
            <w:sz w:val="20"/>
          </w:rPr>
          <w:t>模块协同与版本维护</w:t>
        </w:r>
      </w:hyperlink>
    </w:p>
    <w:p>
      <w:pPr>
        <w:spacing w:after="40"/>
        <w:ind w:left="0"/>
      </w:pPr>
      <w:hyperlink w:anchor="b386">
        <w:r>
          <w:rPr>
            <w:sz w:val="20"/>
          </w:rPr>
          <w:t>参考指南及核验范围</w:t>
        </w:r>
      </w:hyperlink>
    </w:p>
    <w:p>
      <w:pPr>
        <w:spacing w:after="40"/>
        <w:ind w:left="0"/>
      </w:pPr>
      <w:hyperlink w:anchor="b398">
        <w:r>
          <w:rPr>
            <w:sz w:val="20"/>
          </w:rPr>
          <w:t>虚构病例示例</w:t>
        </w:r>
      </w:hyperlink>
    </w:p>
    <w:p>
      <w:r>
        <w:br w:type="page"/>
      </w:r>
    </w:p>
    <w:p>
      <w:bookmarkStart w:id="0" w:name="b0"/>
      <w:pPr>
        <w:pStyle w:val="Heading1"/>
      </w:pPr>
      <w:r>
        <w:t>模块使用说明</w:t>
      </w:r>
      <w:bookmarkEnd w:id="0"/>
    </w:p>
    <w:p>
      <w:pPr>
        <w:spacing w:after="100"/>
      </w:pPr>
      <w:r>
        <w:rPr>
          <w:rFonts w:ascii="Arial" w:hAnsi="Arial" w:eastAsia="宋体"/>
          <w:b w:val="0"/>
          <w:color w:val="000000"/>
          <w:sz w:val="22"/>
        </w:rPr>
        <w:t>功能定位：本组疾病证据分析、连续病程及治疗随访模板。本库服务中国医院普通皮肤病房、重症、皮肤外科、治疗室及皮肤性病临床，由具有权限的医师审核拟稿。</w:t>
      </w:r>
    </w:p>
    <w:p>
      <w:pPr>
        <w:spacing w:after="100"/>
      </w:pPr>
      <w:r>
        <w:rPr>
          <w:rFonts w:ascii="Arial" w:hAnsi="Arial" w:eastAsia="宋体"/>
          <w:b w:val="0"/>
          <w:color w:val="000000"/>
          <w:sz w:val="22"/>
        </w:rPr>
        <w:t>适用场景与自动调用：识别本组病种、鉴别或相关操作与随访。必要患者资料：核心病史、当次皮肤黏膜检查、必要真实检查及医师治疗意见。</w:t>
      </w:r>
    </w:p>
    <w:p>
      <w:pPr>
        <w:spacing w:after="100"/>
      </w:pPr>
      <w:r>
        <w:rPr>
          <w:rFonts w:ascii="Arial" w:hAnsi="Arial" w:eastAsia="宋体"/>
          <w:b w:val="0"/>
          <w:color w:val="000000"/>
          <w:sz w:val="22"/>
        </w:rPr>
        <w:t>事实必须绑定patient_id、encounter_id、lesion_id及适用的procedure_id/specimen_id，附事件时间、记录时间、来源及核验状态。患者自述、医师实查、普通照片可见内容、真实皮肤镜、病原学、组织病理、免疫荧光、自身抗体和临床综合判断分别保存。医学知识不是患者事实；未知不等于阴性；既往查体不等于今日查体。建议、拟定、已开医嘱、已执行、暂停、停用、恢复和取消分离。不得补造身份、皮损、触诊、评分、检查、操作参数、药量、疗效、并发症、沟通、到场查房或签名。</w:t>
      </w:r>
    </w:p>
    <w:p>
      <w:bookmarkStart w:id="4" w:name="b4"/>
      <w:pPr>
        <w:pStyle w:val="Heading1"/>
      </w:pPr>
      <w:r>
        <w:t>正式医学文书输出规范</w:t>
      </w:r>
      <w:bookmarkEnd w:id="4"/>
    </w:p>
    <w:p>
      <w:pPr>
        <w:spacing w:after="100"/>
      </w:pPr>
      <w:r>
        <w:rPr>
          <w:rFonts w:ascii="Arial" w:hAnsi="Arial" w:eastAsia="宋体"/>
          <w:b w:val="0"/>
          <w:color w:val="000000"/>
          <w:sz w:val="22"/>
        </w:rPr>
        <w:t>所有正式医学文书正文使用Markdown text代码框。文书日期、时间、标题及医师姓名和职称组成的查房标题均位于代码框外；代码框内只放实际医学文书正文，不重复题头日期标题，不加AI前言、推理过程或无关备注。日常病程及主治、副主任、主任查房正文连续写成完整一整段，不分条、不留空行、不插入多余空格，不因格式遗漏必要内容。入院、首次病程、手术、讨论、抢救和出院等有固定栏目要求的文书可保留必要结构。抢救及用药等临床事件时间属于事实，须在正文保留。正式文书不得出现未替换占位符；关键事实缺失须在框外提示核实并阻断受影响的净稿。禁止出现“根据昨天的病程”“结合前一天的检查”“根据用户上传的图片”“AI分析认为”；历史检查直接注明真实检查日期。本库【字段】均为编写模板变量，虚构病例仅供测试，二者不得导入真实患者事实。</w:t>
      </w:r>
    </w:p>
    <w:p>
      <w:pPr>
        <w:spacing w:after="100"/>
      </w:pPr>
      <w:r>
        <w:rPr>
          <w:rFonts w:ascii="Arial" w:hAnsi="Arial" w:eastAsia="宋体"/>
          <w:b w:val="0"/>
          <w:color w:val="000000"/>
          <w:sz w:val="22"/>
        </w:rPr>
        <w:t>运行边界：这是可供AI读取的Word规则库，未连接医院电子病历、患者数据库或后台调度。自动调用是执行协议，须实际读取相应模块；不声称跨会话保存病历。不代替现场诊断、处方、操作授权、实际知情同意或医师签名。</w:t>
      </w:r>
    </w:p>
    <w:p>
      <w:bookmarkStart w:id="7" w:name="b7"/>
      <w:pPr>
        <w:pStyle w:val="Heading1"/>
      </w:pPr>
      <w:r>
        <w:t>疾病覆盖与分支调用</w:t>
      </w:r>
      <w:bookmarkEnd w:id="7"/>
    </w:p>
    <w:p>
      <w:pPr>
        <w:spacing w:after="100"/>
      </w:pPr>
      <w:r>
        <w:rPr>
          <w:rFonts w:ascii="Arial" w:hAnsi="Arial" w:eastAsia="宋体"/>
          <w:b w:val="0"/>
          <w:color w:val="000000"/>
          <w:sz w:val="22"/>
        </w:rPr>
        <w:t>本组所有病名和管理分支如下。核心疾病按后文32项展开，近缘亚型沿相应核心病种并追加本索引的限制；不需要皮肤镜、活检、系统治疗或手术者按具体病种说明，不强套。</w:t>
      </w:r>
    </w:p>
    <w:p>
      <w:pPr>
        <w:spacing w:after="100"/>
      </w:pPr>
      <w:r>
        <w:rPr>
          <w:rFonts w:ascii="Arial" w:hAnsi="Arial" w:eastAsia="宋体"/>
          <w:b w:val="0"/>
          <w:color w:val="000000"/>
          <w:sz w:val="22"/>
        </w:rPr>
        <w:t>梅毒：先检索“梅毒及分期管理”及对应形态证据；以本例部位、年龄、阶段和证据决定分支，不从此目录直接生成诊断。</w:t>
      </w:r>
    </w:p>
    <w:p>
      <w:pPr>
        <w:spacing w:after="100"/>
      </w:pPr>
      <w:r>
        <w:rPr>
          <w:rFonts w:ascii="Arial" w:hAnsi="Arial" w:eastAsia="宋体"/>
          <w:b w:val="0"/>
          <w:color w:val="000000"/>
          <w:sz w:val="22"/>
        </w:rPr>
        <w:t>一期梅毒：先检索“梅毒及分期管理”及对应形态证据；以本例部位、年龄、阶段和证据决定分支，不从此目录直接生成诊断。</w:t>
      </w:r>
    </w:p>
    <w:p>
      <w:pPr>
        <w:spacing w:after="100"/>
      </w:pPr>
      <w:r>
        <w:rPr>
          <w:rFonts w:ascii="Arial" w:hAnsi="Arial" w:eastAsia="宋体"/>
          <w:b w:val="0"/>
          <w:color w:val="000000"/>
          <w:sz w:val="22"/>
        </w:rPr>
        <w:t>二期梅毒：先检索“梅毒及分期管理”及对应形态证据；以本例部位、年龄、阶段和证据决定分支，不从此目录直接生成诊断。</w:t>
      </w:r>
    </w:p>
    <w:p>
      <w:pPr>
        <w:spacing w:after="100"/>
      </w:pPr>
      <w:r>
        <w:rPr>
          <w:rFonts w:ascii="Arial" w:hAnsi="Arial" w:eastAsia="宋体"/>
          <w:b w:val="0"/>
          <w:color w:val="000000"/>
          <w:sz w:val="22"/>
        </w:rPr>
        <w:t>潜伏梅毒：先检索“梅毒及分期管理”及对应形态证据；以本例部位、年龄、阶段和证据决定分支，不从此目录直接生成诊断。</w:t>
      </w:r>
    </w:p>
    <w:p>
      <w:pPr>
        <w:spacing w:after="100"/>
      </w:pPr>
      <w:r>
        <w:rPr>
          <w:rFonts w:ascii="Arial" w:hAnsi="Arial" w:eastAsia="宋体"/>
          <w:b w:val="0"/>
          <w:color w:val="000000"/>
          <w:sz w:val="22"/>
        </w:rPr>
        <w:t>其他适用分期的梅毒：先检索“梅毒及分期管理”及对应形态证据；以本例部位、年龄、阶段和证据决定分支，不从此目录直接生成诊断。</w:t>
      </w:r>
    </w:p>
    <w:p>
      <w:pPr>
        <w:spacing w:after="100"/>
      </w:pPr>
      <w:r>
        <w:rPr>
          <w:rFonts w:ascii="Arial" w:hAnsi="Arial" w:eastAsia="宋体"/>
          <w:b w:val="0"/>
          <w:color w:val="000000"/>
          <w:sz w:val="22"/>
        </w:rPr>
        <w:t>淋病：先检索“淋病”及对应形态证据；以本例部位、年龄、阶段和证据决定分支，不从此目录直接生成诊断。</w:t>
      </w:r>
    </w:p>
    <w:p>
      <w:pPr>
        <w:spacing w:after="100"/>
      </w:pPr>
      <w:r>
        <w:rPr>
          <w:rFonts w:ascii="Arial" w:hAnsi="Arial" w:eastAsia="宋体"/>
          <w:b w:val="0"/>
          <w:color w:val="000000"/>
          <w:sz w:val="22"/>
        </w:rPr>
        <w:t>生殖道衣原体感染：先检索“生殖道衣原体及其他性传播感染”及对应形态证据；以本例部位、年龄、阶段和证据决定分支，不从此目录直接生成诊断。</w:t>
      </w:r>
    </w:p>
    <w:p>
      <w:pPr>
        <w:spacing w:after="100"/>
      </w:pPr>
      <w:r>
        <w:rPr>
          <w:rFonts w:ascii="Arial" w:hAnsi="Arial" w:eastAsia="宋体"/>
          <w:b w:val="0"/>
          <w:color w:val="000000"/>
          <w:sz w:val="22"/>
        </w:rPr>
        <w:t>生殖器疱疹：先检索“生殖器疱疹”及对应形态证据；以本例部位、年龄、阶段和证据决定分支，不从此目录直接生成诊断。</w:t>
      </w:r>
    </w:p>
    <w:p>
      <w:pPr>
        <w:spacing w:after="100"/>
      </w:pPr>
      <w:r>
        <w:rPr>
          <w:rFonts w:ascii="Arial" w:hAnsi="Arial" w:eastAsia="宋体"/>
          <w:b w:val="0"/>
          <w:color w:val="000000"/>
          <w:sz w:val="22"/>
        </w:rPr>
        <w:t>生殖器HPV感染相关皮肤黏膜病变：先检索“生殖器HPV及尖锐湿疣”及对应形态证据；以本例部位、年龄、阶段和证据决定分支，不从此目录直接生成诊断。</w:t>
      </w:r>
    </w:p>
    <w:p>
      <w:pPr>
        <w:spacing w:after="100"/>
      </w:pPr>
      <w:r>
        <w:rPr>
          <w:rFonts w:ascii="Arial" w:hAnsi="Arial" w:eastAsia="宋体"/>
          <w:b w:val="0"/>
          <w:color w:val="000000"/>
          <w:sz w:val="22"/>
        </w:rPr>
        <w:t>尖锐湿疣：先检索“生殖器HPV及尖锐湿疣”及对应形态证据；以本例部位、年龄、阶段和证据决定分支，不从此目录直接生成诊断。</w:t>
      </w:r>
    </w:p>
    <w:p>
      <w:pPr>
        <w:spacing w:after="100"/>
      </w:pPr>
      <w:r>
        <w:rPr>
          <w:rFonts w:ascii="Arial" w:hAnsi="Arial" w:eastAsia="宋体"/>
          <w:b w:val="0"/>
          <w:color w:val="000000"/>
          <w:sz w:val="22"/>
        </w:rPr>
        <w:t>其他性传播感染：先检索“生殖道衣原体及其他性传播感染”及对应形态证据；以本例部位、年龄、阶段和证据决定分支，不从此目录直接生成诊断。</w:t>
      </w:r>
    </w:p>
    <w:p>
      <w:pPr>
        <w:spacing w:after="100"/>
      </w:pPr>
      <w:r>
        <w:rPr>
          <w:rFonts w:ascii="Arial" w:hAnsi="Arial" w:eastAsia="宋体"/>
          <w:b w:val="0"/>
          <w:color w:val="000000"/>
          <w:sz w:val="22"/>
        </w:rPr>
        <w:t>HIV相关皮肤表现：先检索“HIV相关皮肤表现”及对应形态证据；以本例部位、年龄、阶段和证据决定分支，不从此目录直接生成诊断。</w:t>
      </w:r>
    </w:p>
    <w:p>
      <w:pPr>
        <w:spacing w:after="100"/>
      </w:pPr>
      <w:r>
        <w:rPr>
          <w:rFonts w:ascii="Arial" w:hAnsi="Arial" w:eastAsia="宋体"/>
          <w:b w:val="0"/>
          <w:color w:val="000000"/>
          <w:sz w:val="22"/>
        </w:rPr>
        <w:t>生殖器皮炎：先检索“生殖器皮损待查及报告转诊”及对应形态证据；以本例部位、年龄、阶段和证据决定分支，不从此目录直接生成诊断。</w:t>
      </w:r>
    </w:p>
    <w:p>
      <w:pPr>
        <w:spacing w:after="100"/>
      </w:pPr>
      <w:r>
        <w:rPr>
          <w:rFonts w:ascii="Arial" w:hAnsi="Arial" w:eastAsia="宋体"/>
          <w:b w:val="0"/>
          <w:color w:val="000000"/>
          <w:sz w:val="22"/>
        </w:rPr>
        <w:t>生殖器湿疹：先检索“生殖器皮损待查及报告转诊”及对应形态证据；以本例部位、年龄、阶段和证据决定分支，不从此目录直接生成诊断。</w:t>
      </w:r>
    </w:p>
    <w:p>
      <w:pPr>
        <w:spacing w:after="100"/>
      </w:pPr>
      <w:r>
        <w:rPr>
          <w:rFonts w:ascii="Arial" w:hAnsi="Arial" w:eastAsia="宋体"/>
          <w:b w:val="0"/>
          <w:color w:val="000000"/>
          <w:sz w:val="22"/>
        </w:rPr>
        <w:t>非感染性生殖器皮肤病：先检索“生殖器皮损待查及报告转诊”及对应形态证据；以本例部位、年龄、阶段和证据决定分支，不从此目录直接生成诊断。</w:t>
      </w:r>
    </w:p>
    <w:p>
      <w:pPr>
        <w:spacing w:after="100"/>
      </w:pPr>
      <w:r>
        <w:rPr>
          <w:rFonts w:ascii="Arial" w:hAnsi="Arial" w:eastAsia="宋体"/>
          <w:b w:val="0"/>
          <w:color w:val="000000"/>
          <w:sz w:val="22"/>
        </w:rPr>
        <w:t>外阴和阴茎皮肤黏膜慢性炎症：先检索“生殖器皮炎湿疹及慢性炎症”及对应形态证据；以本例部位、年龄、阶段和证据决定分支，不从此目录直接生成诊断。</w:t>
      </w:r>
    </w:p>
    <w:p>
      <w:pPr>
        <w:spacing w:after="100"/>
      </w:pPr>
      <w:r>
        <w:rPr>
          <w:rFonts w:ascii="Arial" w:hAnsi="Arial" w:eastAsia="宋体"/>
          <w:b w:val="0"/>
          <w:color w:val="000000"/>
          <w:sz w:val="22"/>
        </w:rPr>
        <w:t>生殖器皮损待查：先检索“生殖器皮损待查及报告转诊”及对应形态证据；以本例部位、年龄、阶段和证据决定分支，不从此目录直接生成诊断。</w:t>
      </w:r>
    </w:p>
    <w:p>
      <w:pPr>
        <w:spacing w:after="100"/>
      </w:pPr>
      <w:r>
        <w:rPr>
          <w:rFonts w:ascii="Arial" w:hAnsi="Arial" w:eastAsia="宋体"/>
          <w:b w:val="0"/>
          <w:color w:val="000000"/>
          <w:sz w:val="22"/>
        </w:rPr>
        <w:t>性传播感染相关复查和治疗反应：先检索“生殖器皮损待查及报告转诊”及对应形态证据；以本例部位、年龄、阶段和证据决定分支，不从此目录直接生成诊断。</w:t>
      </w:r>
    </w:p>
    <w:p>
      <w:pPr>
        <w:spacing w:after="100"/>
      </w:pPr>
      <w:r>
        <w:rPr>
          <w:rFonts w:ascii="Arial" w:hAnsi="Arial" w:eastAsia="宋体"/>
          <w:b w:val="0"/>
          <w:color w:val="000000"/>
          <w:sz w:val="22"/>
        </w:rPr>
        <w:t>性传播感染相关公共卫生报告与转诊协作：先检索“生殖器皮损待查及报告转诊”及对应形态证据；以本例部位、年龄、阶段和证据决定分支，不从此目录直接生成诊断。</w:t>
      </w:r>
    </w:p>
    <w:p>
      <w:pPr>
        <w:spacing w:after="100"/>
      </w:pPr>
      <w:r>
        <w:rPr>
          <w:rFonts w:ascii="Arial" w:hAnsi="Arial" w:eastAsia="宋体"/>
          <w:b w:val="0"/>
          <w:color w:val="000000"/>
          <w:sz w:val="22"/>
        </w:rPr>
        <w:t>生殖器皮肤黏膜疾病长期随访：先检索“生殖器皮损待查及报告转诊”及对应形态证据；以本例部位、年龄、阶段和证据决定分支，不从此目录直接生成诊断。</w:t>
      </w:r>
    </w:p>
    <w:p>
      <w:bookmarkStart w:id="29" w:name="b29"/>
      <w:pPr>
        <w:pStyle w:val="Heading1"/>
      </w:pPr>
      <w:r>
        <w:t>亚型及特殊情境的差异化规则</w:t>
      </w:r>
      <w:bookmarkEnd w:id="29"/>
    </w:p>
    <w:p>
      <w:pPr>
        <w:spacing w:after="100"/>
      </w:pPr>
      <w:r>
        <w:rPr>
          <w:rFonts w:ascii="Arial" w:hAnsi="Arial" w:eastAsia="宋体"/>
          <w:b w:val="0"/>
          <w:color w:val="000000"/>
          <w:sz w:val="22"/>
        </w:rPr>
        <w:t>一期梅毒：硬下疳等相容病损与病原或适用实验室依据结合；损害可能不典型，不能仅凭溃疡或单一血清学写一期。以实际发病、接触史自愿提供和既往治疗排除旧感染因素。</w:t>
      </w:r>
    </w:p>
    <w:p>
      <w:pPr>
        <w:spacing w:after="100"/>
      </w:pPr>
      <w:r>
        <w:rPr>
          <w:rFonts w:ascii="Arial" w:hAnsi="Arial" w:eastAsia="宋体"/>
          <w:b w:val="0"/>
          <w:color w:val="000000"/>
          <w:sz w:val="22"/>
        </w:rPr>
        <w:t>二期梅毒：相容皮肤黏膜及全身表现与实验室证据整合，掌跖疹或扁平湿疣并非所有患者必有；不能从TPPA阳性自动补掌跖铜红疹、淋巴结或新近传播。</w:t>
      </w:r>
    </w:p>
    <w:p>
      <w:pPr>
        <w:spacing w:after="100"/>
      </w:pPr>
      <w:r>
        <w:rPr>
          <w:rFonts w:ascii="Arial" w:hAnsi="Arial" w:eastAsia="宋体"/>
          <w:b w:val="0"/>
          <w:color w:val="000000"/>
          <w:sz w:val="22"/>
        </w:rPr>
        <w:t>潜伏及其他分期梅毒：无相应临床症状亦须真实检查与既往资料支持，早晚或病期不明按当前中国标准及真实时长判定；不混用国际不同早晚时限。神经、眼、耳梅毒需症状与专门评估，不能由滴度高低单独定分期。</w:t>
      </w:r>
    </w:p>
    <w:p>
      <w:pPr>
        <w:spacing w:after="100"/>
      </w:pPr>
      <w:r>
        <w:rPr>
          <w:rFonts w:ascii="Arial" w:hAnsi="Arial" w:eastAsia="宋体"/>
          <w:b w:val="0"/>
          <w:color w:val="000000"/>
          <w:sz w:val="22"/>
        </w:rPr>
        <w:t>治疗反应 血清固定及再感染：历次非螺旋体滴度尽量同方法同实验室并记录时间；疗效判断结合分期、疗程和随访间隔，不能以一次低滴度直接认治愈，也不能将持续阳性一概写治疗失败。</w:t>
      </w:r>
    </w:p>
    <w:p>
      <w:pPr>
        <w:spacing w:after="100"/>
      </w:pPr>
      <w:r>
        <w:rPr>
          <w:rFonts w:ascii="Arial" w:hAnsi="Arial" w:eastAsia="宋体"/>
          <w:b w:val="0"/>
          <w:color w:val="000000"/>
          <w:sz w:val="22"/>
        </w:rPr>
        <w:t>非感染性生殖器皮肤黏膜病：硬化性苔藓、扁平苔藓、固定型药疹等可在敏感部位出现；妇科泌尿协作按实况。外阴阴茎慢性炎症需注意瘢痕狭窄和肿瘤疑点，阴性病原不能自动排全部病变。</w:t>
      </w:r>
    </w:p>
    <w:p>
      <w:pPr>
        <w:spacing w:after="100"/>
      </w:pPr>
      <w:r>
        <w:rPr>
          <w:rFonts w:ascii="Arial" w:hAnsi="Arial" w:eastAsia="宋体"/>
          <w:b w:val="0"/>
          <w:color w:val="000000"/>
          <w:sz w:val="22"/>
        </w:rPr>
        <w:t>公共卫生报告及转诊协作：报告病例定义、权限、时限和系统以现行法规及本院流程核实；拟报告、已审核、已报、订正和转诊分开。不可自动给患者或伴侣发送信息；报告完成和性伴通知需真实记录，不因检验阳性自动写已报告。</w:t>
      </w:r>
    </w:p>
    <w:p>
      <w:bookmarkStart w:id="36" w:name="b36"/>
      <w:pPr>
        <w:pStyle w:val="Heading2"/>
      </w:pPr>
      <w:r>
        <w:t>01 梅毒及分期管理</w:t>
      </w:r>
      <w:bookmarkEnd w:id="36"/>
    </w:p>
    <w:p>
      <w:pPr>
        <w:spacing w:after="100"/>
      </w:pPr>
      <w:r>
        <w:rPr>
          <w:rFonts w:ascii="Arial" w:hAnsi="Arial" w:eastAsia="宋体"/>
          <w:b w:val="0"/>
          <w:color w:val="000000"/>
          <w:sz w:val="21"/>
        </w:rPr>
        <w:t>01 疾病定义：梅毒螺旋体感染，可分多种临床阶段，血清阳性不等新感染。该定义是专业知识，不能代替本例诊断。</w:t>
      </w:r>
    </w:p>
    <w:p>
      <w:pPr>
        <w:spacing w:after="100"/>
      </w:pPr>
      <w:r>
        <w:rPr>
          <w:rFonts w:ascii="Arial" w:hAnsi="Arial" w:eastAsia="宋体"/>
          <w:b w:val="0"/>
          <w:color w:val="000000"/>
          <w:sz w:val="21"/>
        </w:rPr>
        <w:t>02 病因及发病机制：围绕梅毒螺旋体感染，可分多种临床阶段，血清阳性不等新感染采集相关线索；患者病因只写已核证据，未证实时保留可能性。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临床表现：症状、全身受累及变化按实际病史与检查；重点核实既往确诊治疗方案时间、历次滴度、症状及必要自愿性接触史。</w:t>
      </w:r>
    </w:p>
    <w:p>
      <w:pPr>
        <w:spacing w:after="100"/>
      </w:pPr>
      <w:r>
        <w:rPr>
          <w:rFonts w:ascii="Arial" w:hAnsi="Arial" w:eastAsia="宋体"/>
          <w:b w:val="0"/>
          <w:color w:val="000000"/>
          <w:sz w:val="21"/>
        </w:rPr>
        <w:t>04 典型皮损形态：硬下疳、全身皮疹或无症状等须实际存在。典型性只用于鉴别，不自动添加到患者查体。</w:t>
      </w:r>
    </w:p>
    <w:p>
      <w:pPr>
        <w:spacing w:after="100"/>
      </w:pPr>
      <w:r>
        <w:rPr>
          <w:rFonts w:ascii="Arial" w:hAnsi="Arial" w:eastAsia="宋体"/>
          <w:b w:val="0"/>
          <w:color w:val="000000"/>
          <w:sz w:val="21"/>
        </w:rPr>
        <w:t>05 皮损部位及分布：逐病灶记录硬下疳、全身皮疹或无症状等须实际存在涉及的实际部位侧别、数量排列对称和范围；不补“全身”。</w:t>
      </w:r>
    </w:p>
    <w:p>
      <w:pPr>
        <w:spacing w:after="100"/>
      </w:pPr>
      <w:r>
        <w:rPr>
          <w:rFonts w:ascii="Arial" w:hAnsi="Arial" w:eastAsia="宋体"/>
          <w:b w:val="0"/>
          <w:color w:val="000000"/>
          <w:sz w:val="21"/>
        </w:rPr>
        <w:t>06 病史采集重点：既往确诊治疗方案时间、历次滴度、症状及必要自愿性接触史；保留发病与发现、首次与复发、用药计划与执行的差别。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专科检查：按03实查原发继发皮损、黏膜、毛发甲及必要触诊，围绕一期二期潜伏及其他适用分期需时长症状证据；神经眼耳另评记录而不强行检查无关项目。</w:t>
      </w:r>
    </w:p>
    <w:p>
      <w:pPr>
        <w:spacing w:after="100"/>
      </w:pPr>
      <w:r>
        <w:rPr>
          <w:rFonts w:ascii="Arial" w:hAnsi="Arial" w:eastAsia="宋体"/>
          <w:b w:val="0"/>
          <w:color w:val="000000"/>
          <w:sz w:val="21"/>
        </w:rPr>
        <w:t>08 实验室检查：螺旋体与非螺旋体试验及滴度、直接病原按实际，结合WS273；不能用单项确定病期；检查项目按问题选择，未做不写正常。</w:t>
      </w:r>
    </w:p>
    <w:p>
      <w:pPr>
        <w:spacing w:after="100"/>
      </w:pPr>
      <w:r>
        <w:rPr>
          <w:rFonts w:ascii="Arial" w:hAnsi="Arial" w:eastAsia="宋体"/>
          <w:b w:val="0"/>
          <w:color w:val="000000"/>
          <w:sz w:val="21"/>
        </w:rPr>
        <w:t>09 皮肤镜或其他辅助检查：围绕螺旋体与非螺旋体试验及滴度、直接病原按实际，结合WS273；不能用单项确定病期选择必要辅查；没有特定指征不常规添加皮肤镜，普通照不当镜图。</w:t>
      </w:r>
    </w:p>
    <w:p>
      <w:pPr>
        <w:spacing w:after="100"/>
      </w:pPr>
      <w:r>
        <w:rPr>
          <w:rFonts w:ascii="Arial" w:hAnsi="Arial" w:eastAsia="宋体"/>
          <w:b w:val="0"/>
          <w:color w:val="000000"/>
          <w:sz w:val="21"/>
        </w:rPr>
        <w:t>10 病理及免疫检查：需腰穿等须医师适应证与实际记录，不因血清阳性自动写脑脊液正常。HE、DIF、IIF及抗体按实际诊断问题选择，非典型或疑难再评取材；无适应证不强制。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诊断标准：采用可核实的适用临床及专科体系，螺旋体与非螺旋体试验及滴度、直接病原按实际，结合WS273；不能用单项确定病期；未核全文的评分标准不得凭题录复造。</w:t>
      </w:r>
    </w:p>
    <w:p>
      <w:pPr>
        <w:spacing w:after="100"/>
      </w:pPr>
      <w:r>
        <w:rPr>
          <w:rFonts w:ascii="Arial" w:hAnsi="Arial" w:eastAsia="宋体"/>
          <w:b w:val="0"/>
          <w:color w:val="000000"/>
          <w:sz w:val="21"/>
        </w:rPr>
        <w:t>12 诊断依据：逐条将实际硬下疳、全身皮疹或无症状等须实际存在与螺旋体与非螺旋体试验及滴度、直接病原按实际，结合WS273；不能用单项确定病期对应；写本例支持、反对及尚缺证据，保持疑似/初诊/确诊确定度。</w:t>
      </w:r>
    </w:p>
    <w:p>
      <w:pPr>
        <w:spacing w:after="100"/>
      </w:pPr>
      <w:r>
        <w:rPr>
          <w:rFonts w:ascii="Arial" w:hAnsi="Arial" w:eastAsia="宋体"/>
          <w:b w:val="0"/>
          <w:color w:val="000000"/>
          <w:sz w:val="21"/>
        </w:rPr>
        <w:t>13 鉴别诊断：既往治疗后血清固定、假阳性、其他溃疡和药疹。每项基于本例支持、反对和下一步验证，不机械写全部排除。</w:t>
      </w:r>
    </w:p>
    <w:p>
      <w:pPr>
        <w:spacing w:after="100"/>
      </w:pPr>
      <w:r>
        <w:rPr>
          <w:rFonts w:ascii="Arial" w:hAnsi="Arial" w:eastAsia="宋体"/>
          <w:b w:val="0"/>
          <w:color w:val="000000"/>
          <w:sz w:val="21"/>
        </w:rPr>
        <w:t>14 分型分期及严重程度：一期二期潜伏及其他适用分期需时长症状证据；神经眼耳另评。评分需体系版本、分项、日期和评估者，缺变量不自动算。</w:t>
      </w:r>
    </w:p>
    <w:p>
      <w:pPr>
        <w:spacing w:after="100"/>
      </w:pPr>
      <w:r>
        <w:rPr>
          <w:rFonts w:ascii="Arial" w:hAnsi="Arial" w:eastAsia="宋体"/>
          <w:b w:val="0"/>
          <w:color w:val="000000"/>
          <w:sz w:val="21"/>
        </w:rPr>
        <w:t>15 危急病情识别：视听变化神经症状、妊娠或先天风险须专科协作。危险状态联合06，不等待文书齐全才处置。</w:t>
      </w:r>
    </w:p>
    <w:p>
      <w:pPr>
        <w:spacing w:after="100"/>
      </w:pPr>
      <w:r>
        <w:rPr>
          <w:rFonts w:ascii="Arial" w:hAnsi="Arial" w:eastAsia="宋体"/>
          <w:b w:val="0"/>
          <w:color w:val="000000"/>
          <w:sz w:val="21"/>
        </w:rPr>
        <w:t>16 外用治疗：局部处置不替全身病因治疗。该项为决策知识，患者已用与否及用法必须真实。</w:t>
      </w:r>
    </w:p>
    <w:p>
      <w:pPr>
        <w:spacing w:after="100"/>
      </w:pPr>
      <w:r>
        <w:rPr>
          <w:rFonts w:ascii="Arial" w:hAnsi="Arial" w:eastAsia="宋体"/>
          <w:b w:val="0"/>
          <w:color w:val="000000"/>
          <w:sz w:val="21"/>
        </w:rPr>
        <w:t>17 系统治疗：药物方案依分期过敏妊娠及真实医嘱，不自动青霉素已注射。不得自动填写剂量频次疗程或疗效，联合07核药物状态。</w:t>
      </w:r>
    </w:p>
    <w:p>
      <w:pPr>
        <w:spacing w:after="100"/>
      </w:pPr>
      <w:r>
        <w:rPr>
          <w:rFonts w:ascii="Arial" w:hAnsi="Arial" w:eastAsia="宋体"/>
          <w:b w:val="0"/>
          <w:color w:val="000000"/>
          <w:sz w:val="21"/>
        </w:rPr>
        <w:t>18 皮肤治疗操作：需腰穿等须医师适应证与实际记录，不因血清阳性自动写脑脊液正常；操作前后按05，拟实施不得写已实施。</w:t>
      </w:r>
    </w:p>
    <w:p>
      <w:pPr>
        <w:spacing w:after="100"/>
      </w:pPr>
      <w:r>
        <w:rPr>
          <w:rFonts w:ascii="Arial" w:hAnsi="Arial" w:eastAsia="宋体"/>
          <w:b w:val="0"/>
          <w:color w:val="000000"/>
          <w:sz w:val="21"/>
        </w:rPr>
        <w:t>19 相关并发症：优先识别视听变化神经症状、妊娠或先天风险须专科协作；继发感染、瘢痕及药物反应均要实际证据，风险不等已经发生。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病例特点：【真实病史，重点既往确诊治疗方案时间、历次滴度、症状及必要自愿性接触史；当次硬下疳、全身皮疹或无症状等须实际存在】</w:t>
        <w:br/>
        <w:t>初步诊断：【梅毒及分期管理的实际确定度】</w:t>
        <w:br/>
        <w:t>诊断依据：【实际螺旋体与非螺旋体试验及滴度、直接病原按实际，结合WS273；不能用单项确定病期】</w:t>
        <w:br/>
        <w:t>鉴别诊断：【既往治疗后血清固定、假阳性、其他溃疡和药疹的支持反对缺口】</w:t>
        <w:br/>
        <w:t>诊疗计划：【医师确认的局部处置不替全身病因治疗及必要检查监测；计划与执行分开】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硬下疳、全身皮疹或无症状等须实际存在的实见部分及黏膜全身】，检查【当时可知结果】。目前考虑【诊断及确定度】，实际治疗【真实执行】，本日重点观察【一期二期潜伏及其他适用分期需时长症状证据；神经眼耳另评】，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姓名】主治医师查房，患者【真实症状】，查体【当次形态范围】，检查【可知结果】。主治医师分析【梅毒及分期管理当前活动及真实治疗执行、短期反应】，关注【视听变化神经症状、妊娠或先天风险须专科协作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螺旋体与非螺旋体试验及滴度、直接病原按实际，结合WS273；不能用单项确定病期与形态对应、既往治疗后血清固定、假阳性、其他溃疡和药疹的鉴别及一期二期潜伏及其他适用分期需时长症状证据；神经眼耳另评】，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梅毒及分期管理疑难证据及系统风险】，就【药物方案依分期过敏妊娠及真实医嘱，不自动青霉素已注射涉及的本例重大决策】提出【真实策略与条件】，长期重点【同方法滴度趋势结合时间和治疗史，公共卫生流程由授权人员执行】，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一期二期潜伏及其他适用分期需时长症状证据；神经眼耳另评的真实变化及安全检查】，医师决定【实际药物或局部方案】由【原方案】调整为【新方案】，原因【证据】，当前处方及执行【分别状态】，监测【本例视听变化神经症状、妊娠或先天风险须专科协作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需腰穿等须医师适应证与实际记录，不因血清阳性自动写脑脊液正常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视听变化神经症状、妊娠或先天风险须专科协作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诊疗经过：【螺旋体与非螺旋体试验及滴度、直接病原按实际，结合WS273；不能用单项确定病期的实际结果、药物操作及转归】</w:t>
        <w:br/>
        <w:t>出院诊断：【确定度与版本】</w:t>
        <w:br/>
        <w:t>出院情况：【当次皮损黏膜全身实查】</w:t>
        <w:br/>
        <w:t>医嘱和未决事项：【同方法滴度趋势结合时间和治疗史，公共卫生流程由授权人员执行中适用的确认方案及责任】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用药：【本例真实带药、剂量部位用法疗程及停药项】</w:t>
        <w:br/>
        <w:t>护理：【局部处置不替全身病因治疗中已确认部分】</w:t>
        <w:br/>
        <w:t>复诊及监测：【本例实际项目时点责任】</w:t>
        <w:br/>
        <w:t>警示：【视听变化神经症状、妊娠或先天风险须专科协作中需要患者识别的事项】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长期随访：同方法滴度趋势结合时间和治疗史，公共卫生流程由授权人员执行。具体项目、复查频率和责任人来自已确认方案，不统一套固定周期。</w:t>
      </w:r>
    </w:p>
    <w:p>
      <w:pPr>
        <w:spacing w:after="100"/>
      </w:pPr>
      <w:r>
        <w:rPr>
          <w:rFonts w:ascii="Arial" w:hAnsi="Arial" w:eastAsia="宋体"/>
          <w:b w:val="0"/>
          <w:color w:val="000000"/>
          <w:sz w:val="21"/>
        </w:rPr>
        <w:t>31 最终质控：重点核对螺旋体与非螺旋体试验及滴度、直接病原按实际，结合WS273；不能用单项确定病期及一期二期潜伏及其他适用分期需时长症状证据；神经眼耳另评；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参考指南及版本：本组适用依据为R20、R21、R22、R30、R34，正式名称、机构、年份、适用范围、核验日期及核验限制见本文件参考章节。未核原表或说明书不补具体推荐。</w:t>
      </w:r>
    </w:p>
    <w:p>
      <w:bookmarkStart w:id="79" w:name="b79"/>
      <w:pPr>
        <w:pStyle w:val="Heading2"/>
      </w:pPr>
      <w:r>
        <w:t>02 淋病</w:t>
      </w:r>
      <w:bookmarkEnd w:id="79"/>
    </w:p>
    <w:p>
      <w:pPr>
        <w:spacing w:after="100"/>
      </w:pPr>
      <w:r>
        <w:rPr>
          <w:rFonts w:ascii="Arial" w:hAnsi="Arial" w:eastAsia="宋体"/>
          <w:b w:val="0"/>
          <w:color w:val="000000"/>
          <w:sz w:val="21"/>
        </w:rPr>
        <w:t>01 疾病定义：淋病奈瑟菌感染应结合暴露部位及实验室。该定义是专业知识，不能代替本例诊断。</w:t>
      </w:r>
    </w:p>
    <w:p>
      <w:pPr>
        <w:spacing w:after="100"/>
      </w:pPr>
      <w:r>
        <w:rPr>
          <w:rFonts w:ascii="Arial" w:hAnsi="Arial" w:eastAsia="宋体"/>
          <w:b w:val="0"/>
          <w:color w:val="000000"/>
          <w:sz w:val="21"/>
        </w:rPr>
        <w:t>02 病因及发病机制：围绕淋病奈瑟菌感染应结合暴露部位及实验室采集相关线索；患者病因只写已核证据，未证实时保留可能性。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临床表现：症状、全身受累及变化按实际病史与检查；重点核实症状起始、部位、既往抗菌、必要接触及妊娠。</w:t>
      </w:r>
    </w:p>
    <w:p>
      <w:pPr>
        <w:spacing w:after="100"/>
      </w:pPr>
      <w:r>
        <w:rPr>
          <w:rFonts w:ascii="Arial" w:hAnsi="Arial" w:eastAsia="宋体"/>
          <w:b w:val="0"/>
          <w:color w:val="000000"/>
          <w:sz w:val="21"/>
        </w:rPr>
        <w:t>04 典型皮损形态：尿道宫颈等分泌物和症状仅必要范围采集。典型性只用于鉴别，不自动添加到患者查体。</w:t>
      </w:r>
    </w:p>
    <w:p>
      <w:pPr>
        <w:spacing w:after="100"/>
      </w:pPr>
      <w:r>
        <w:rPr>
          <w:rFonts w:ascii="Arial" w:hAnsi="Arial" w:eastAsia="宋体"/>
          <w:b w:val="0"/>
          <w:color w:val="000000"/>
          <w:sz w:val="21"/>
        </w:rPr>
        <w:t>05 皮损部位及分布：逐病灶记录尿道宫颈等分泌物和症状仅必要范围采集涉及的实际部位侧别、数量排列对称和范围；不补“全身”。</w:t>
      </w:r>
    </w:p>
    <w:p>
      <w:pPr>
        <w:spacing w:after="100"/>
      </w:pPr>
      <w:r>
        <w:rPr>
          <w:rFonts w:ascii="Arial" w:hAnsi="Arial" w:eastAsia="宋体"/>
          <w:b w:val="0"/>
          <w:color w:val="000000"/>
          <w:sz w:val="21"/>
        </w:rPr>
        <w:t>06 病史采集重点：症状起始、部位、既往抗菌、必要接触及妊娠；保留发病与发现、首次与复发、用药计划与执行的差别。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专科检查：按03实查原发继发皮损、黏膜、毛发甲及必要触诊，围绕部位感染与播散或并发症分开记录而不强行检查无关项目。</w:t>
      </w:r>
    </w:p>
    <w:p>
      <w:pPr>
        <w:spacing w:after="100"/>
      </w:pPr>
      <w:r>
        <w:rPr>
          <w:rFonts w:ascii="Arial" w:hAnsi="Arial" w:eastAsia="宋体"/>
          <w:b w:val="0"/>
          <w:color w:val="000000"/>
          <w:sz w:val="21"/>
        </w:rPr>
        <w:t>08 实验室检查：核酸或培养，药敏用于治疗失败耐药疑点；样本部位及采样时点必须有；检查项目按问题选择，未做不写正常。</w:t>
      </w:r>
    </w:p>
    <w:p>
      <w:pPr>
        <w:spacing w:after="100"/>
      </w:pPr>
      <w:r>
        <w:rPr>
          <w:rFonts w:ascii="Arial" w:hAnsi="Arial" w:eastAsia="宋体"/>
          <w:b w:val="0"/>
          <w:color w:val="000000"/>
          <w:sz w:val="21"/>
        </w:rPr>
        <w:t>09 皮肤镜或其他辅助检查：围绕核酸或培养，药敏用于治疗失败耐药疑点；样本部位及采样时点必须有选择必要辅查；没有特定指征不常规添加皮肤镜，普通照不当镜图。</w:t>
      </w:r>
    </w:p>
    <w:p>
      <w:pPr>
        <w:spacing w:after="100"/>
      </w:pPr>
      <w:r>
        <w:rPr>
          <w:rFonts w:ascii="Arial" w:hAnsi="Arial" w:eastAsia="宋体"/>
          <w:b w:val="0"/>
          <w:color w:val="000000"/>
          <w:sz w:val="21"/>
        </w:rPr>
        <w:t>10 病理及免疫检查：病原取样及复查实际安排，不无必要生殖器摄影。HE、DIF、IIF及抗体按实际诊断问题选择，非典型或疑难再评取材；无适应证不强制。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诊断标准：采用可核实的适用临床及专科体系，核酸或培养，药敏用于治疗失败耐药疑点；样本部位及采样时点必须有；未核全文的评分标准不得凭题录复造。</w:t>
      </w:r>
    </w:p>
    <w:p>
      <w:pPr>
        <w:spacing w:after="100"/>
      </w:pPr>
      <w:r>
        <w:rPr>
          <w:rFonts w:ascii="Arial" w:hAnsi="Arial" w:eastAsia="宋体"/>
          <w:b w:val="0"/>
          <w:color w:val="000000"/>
          <w:sz w:val="21"/>
        </w:rPr>
        <w:t>12 诊断依据：逐条将实际尿道宫颈等分泌物和症状仅必要范围采集与核酸或培养，药敏用于治疗失败耐药疑点；样本部位及采样时点必须有对应；写本例支持、反对及尚缺证据，保持疑似/初诊/确诊确定度。</w:t>
      </w:r>
    </w:p>
    <w:p>
      <w:pPr>
        <w:spacing w:after="100"/>
      </w:pPr>
      <w:r>
        <w:rPr>
          <w:rFonts w:ascii="Arial" w:hAnsi="Arial" w:eastAsia="宋体"/>
          <w:b w:val="0"/>
          <w:color w:val="000000"/>
          <w:sz w:val="21"/>
        </w:rPr>
        <w:t>13 鉴别诊断：衣原体、其他非淋菌性炎症及非感染性疾病。每项基于本例支持、反对和下一步验证，不机械写全部排除。</w:t>
      </w:r>
    </w:p>
    <w:p>
      <w:pPr>
        <w:spacing w:after="100"/>
      </w:pPr>
      <w:r>
        <w:rPr>
          <w:rFonts w:ascii="Arial" w:hAnsi="Arial" w:eastAsia="宋体"/>
          <w:b w:val="0"/>
          <w:color w:val="000000"/>
          <w:sz w:val="21"/>
        </w:rPr>
        <w:t>14 分型分期及严重程度：部位感染与播散或并发症分开。评分需体系版本、分项、日期和评估者，缺变量不自动算。</w:t>
      </w:r>
    </w:p>
    <w:p>
      <w:pPr>
        <w:spacing w:after="100"/>
      </w:pPr>
      <w:r>
        <w:rPr>
          <w:rFonts w:ascii="Arial" w:hAnsi="Arial" w:eastAsia="宋体"/>
          <w:b w:val="0"/>
          <w:color w:val="000000"/>
          <w:sz w:val="21"/>
        </w:rPr>
        <w:t>15 危急病情识别：发热关节症状、盆腔睾丸疼痛及妊娠需及时协作。危险状态联合06，不等待文书齐全才处置。</w:t>
      </w:r>
    </w:p>
    <w:p>
      <w:pPr>
        <w:spacing w:after="100"/>
      </w:pPr>
      <w:r>
        <w:rPr>
          <w:rFonts w:ascii="Arial" w:hAnsi="Arial" w:eastAsia="宋体"/>
          <w:b w:val="0"/>
          <w:color w:val="000000"/>
          <w:sz w:val="21"/>
        </w:rPr>
        <w:t>16 外用治疗：局部外用不能代替系统治疗。该项为决策知识，患者已用与否及用法必须真实。</w:t>
      </w:r>
    </w:p>
    <w:p>
      <w:pPr>
        <w:spacing w:after="100"/>
      </w:pPr>
      <w:r>
        <w:rPr>
          <w:rFonts w:ascii="Arial" w:hAnsi="Arial" w:eastAsia="宋体"/>
          <w:b w:val="0"/>
          <w:color w:val="000000"/>
          <w:sz w:val="21"/>
        </w:rPr>
        <w:t>17 系统治疗：抗菌依现行指南本地耐药过敏妊娠，不能套过期固定方案。不得自动填写剂量频次疗程或疗效，联合07核药物状态。</w:t>
      </w:r>
    </w:p>
    <w:p>
      <w:pPr>
        <w:spacing w:after="100"/>
      </w:pPr>
      <w:r>
        <w:rPr>
          <w:rFonts w:ascii="Arial" w:hAnsi="Arial" w:eastAsia="宋体"/>
          <w:b w:val="0"/>
          <w:color w:val="000000"/>
          <w:sz w:val="21"/>
        </w:rPr>
        <w:t>18 皮肤治疗操作：病原取样及复查实际安排，不无必要生殖器摄影；操作前后按05，拟实施不得写已实施。</w:t>
      </w:r>
    </w:p>
    <w:p>
      <w:pPr>
        <w:spacing w:after="100"/>
      </w:pPr>
      <w:r>
        <w:rPr>
          <w:rFonts w:ascii="Arial" w:hAnsi="Arial" w:eastAsia="宋体"/>
          <w:b w:val="0"/>
          <w:color w:val="000000"/>
          <w:sz w:val="21"/>
        </w:rPr>
        <w:t>19 相关并发症：优先识别发热关节症状、盆腔睾丸疼痛及妊娠需及时协作；继发感染、瘢痕及药物反应均要实际证据，风险不等已经发生。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病例特点：【真实病史，重点症状起始、部位、既往抗菌、必要接触及妊娠；当次尿道宫颈等分泌物和症状仅必要范围采集】</w:t>
        <w:br/>
        <w:t>初步诊断：【淋病的实际确定度】</w:t>
        <w:br/>
        <w:t>诊断依据：【实际核酸或培养，药敏用于治疗失败耐药疑点；样本部位及采样时点必须有】</w:t>
        <w:br/>
        <w:t>鉴别诊断：【衣原体、其他非淋菌性炎症及非感染性疾病的支持反对缺口】</w:t>
        <w:br/>
        <w:t>诊疗计划：【医师确认的局部外用不能代替系统治疗及必要检查监测；计划与执行分开】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诉【本日症状变化】，查体见【本日尿道宫颈等分泌物和症状仅必要范围采集的实见部分及黏膜全身】，检查【当时可知结果】。目前考虑【诊断及确定度】，实际治疗【真实执行】，本日重点观察【部位感染与播散或并发症分开】，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姓名】主治医师查房，患者【真实症状】，查体【当次形态范围】，检查【可知结果】。主治医师分析【淋病当前活动及真实治疗执行、短期反应】，关注【发热关节症状、盆腔睾丸疼痛及妊娠需及时协作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核酸或培养，药敏用于治疗失败耐药疑点；样本部位及采样时点必须有与形态对应、衣原体、其他非淋菌性炎症及非感染性疾病的鉴别及部位感染与播散或并发症分开】，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淋病疑难证据及系统风险】，就【抗菌依现行指南本地耐药过敏妊娠，不能套过期固定方案涉及的本例重大决策】提出【真实策略与条件】，长期重点【症状持续、治疗失败和再感染分别分析，性伴服务不能声称已通知】，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部位感染与播散或并发症分开的真实变化及安全检查】，医师决定【实际药物或局部方案】由【原方案】调整为【新方案】，原因【证据】，当前处方及执行【分别状态】，监测【本例发热关节症状、盆腔睾丸疼痛及妊娠需及时协作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病原取样及复查实际安排，不无必要生殖器摄影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发热关节症状、盆腔睾丸疼痛及妊娠需及时协作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诊疗经过：【核酸或培养，药敏用于治疗失败耐药疑点；样本部位及采样时点必须有的实际结果、药物操作及转归】</w:t>
        <w:br/>
        <w:t>出院诊断：【确定度与版本】</w:t>
        <w:br/>
        <w:t>出院情况：【当次皮损黏膜全身实查】</w:t>
        <w:br/>
        <w:t>医嘱和未决事项：【症状持续、治疗失败和再感染分别分析，性伴服务不能声称已通知中适用的确认方案及责任】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用药：【本例真实带药、剂量部位用法疗程及停药项】</w:t>
        <w:br/>
        <w:t>护理：【局部外用不能代替系统治疗中已确认部分】</w:t>
        <w:br/>
        <w:t>复诊及监测：【本例实际项目时点责任】</w:t>
        <w:br/>
        <w:t>警示：【发热关节症状、盆腔睾丸疼痛及妊娠需及时协作中需要患者识别的事项】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长期随访：症状持续、治疗失败和再感染分别分析，性伴服务不能声称已通知。具体项目、复查频率和责任人来自已确认方案，不统一套固定周期。</w:t>
      </w:r>
    </w:p>
    <w:p>
      <w:pPr>
        <w:spacing w:after="100"/>
      </w:pPr>
      <w:r>
        <w:rPr>
          <w:rFonts w:ascii="Arial" w:hAnsi="Arial" w:eastAsia="宋体"/>
          <w:b w:val="0"/>
          <w:color w:val="000000"/>
          <w:sz w:val="21"/>
        </w:rPr>
        <w:t>31 最终质控：重点核对核酸或培养，药敏用于治疗失败耐药疑点；样本部位及采样时点必须有及部位感染与播散或并发症分开；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参考指南及版本：本组适用依据为R20、R21、R22、R30、R34，正式名称、机构、年份、适用范围、核验日期及核验限制见本文件参考章节。未核原表或说明书不补具体推荐。</w:t>
      </w:r>
    </w:p>
    <w:p>
      <w:bookmarkStart w:id="122" w:name="b122"/>
      <w:pPr>
        <w:pStyle w:val="Heading2"/>
      </w:pPr>
      <w:r>
        <w:t>03 生殖道衣原体及其他性传播感染</w:t>
      </w:r>
      <w:bookmarkEnd w:id="122"/>
    </w:p>
    <w:p>
      <w:pPr>
        <w:spacing w:after="100"/>
      </w:pPr>
      <w:r>
        <w:rPr>
          <w:rFonts w:ascii="Arial" w:hAnsi="Arial" w:eastAsia="宋体"/>
          <w:b w:val="0"/>
          <w:color w:val="000000"/>
          <w:sz w:val="21"/>
        </w:rPr>
        <w:t>01 疾病定义：病原相关感染与非感染性症状分开。该定义是专业知识，不能代替本例诊断。</w:t>
      </w:r>
    </w:p>
    <w:p>
      <w:pPr>
        <w:spacing w:after="100"/>
      </w:pPr>
      <w:r>
        <w:rPr>
          <w:rFonts w:ascii="Arial" w:hAnsi="Arial" w:eastAsia="宋体"/>
          <w:b w:val="0"/>
          <w:color w:val="000000"/>
          <w:sz w:val="21"/>
        </w:rPr>
        <w:t>02 病因及发病机制：围绕病原相关感染与非感染性症状分开采集相关线索；患者病因只写已核证据，未证实时保留可能性。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临床表现：症状、全身受累及变化按实际病史与检查；重点核实必要病史、既往治疗、妊娠与依从性。</w:t>
      </w:r>
    </w:p>
    <w:p>
      <w:pPr>
        <w:spacing w:after="100"/>
      </w:pPr>
      <w:r>
        <w:rPr>
          <w:rFonts w:ascii="Arial" w:hAnsi="Arial" w:eastAsia="宋体"/>
          <w:b w:val="0"/>
          <w:color w:val="000000"/>
          <w:sz w:val="21"/>
        </w:rPr>
        <w:t>04 典型皮损形态：相应部位炎症、分泌物或无症状不能凭照片决定。典型性只用于鉴别，不自动添加到患者查体。</w:t>
      </w:r>
    </w:p>
    <w:p>
      <w:pPr>
        <w:spacing w:after="100"/>
      </w:pPr>
      <w:r>
        <w:rPr>
          <w:rFonts w:ascii="Arial" w:hAnsi="Arial" w:eastAsia="宋体"/>
          <w:b w:val="0"/>
          <w:color w:val="000000"/>
          <w:sz w:val="21"/>
        </w:rPr>
        <w:t>05 皮损部位及分布：逐病灶记录相应部位炎症、分泌物或无症状不能凭照片决定涉及的实际部位侧别、数量排列对称和范围；不补“全身”。</w:t>
      </w:r>
    </w:p>
    <w:p>
      <w:pPr>
        <w:spacing w:after="100"/>
      </w:pPr>
      <w:r>
        <w:rPr>
          <w:rFonts w:ascii="Arial" w:hAnsi="Arial" w:eastAsia="宋体"/>
          <w:b w:val="0"/>
          <w:color w:val="000000"/>
          <w:sz w:val="21"/>
        </w:rPr>
        <w:t>06 病史采集重点：必要病史、既往治疗、妊娠与依从性；保留发病与发现、首次与复发、用药计划与执行的差别。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专科检查：按03实查原发继发皮损、黏膜、毛发甲及必要触诊，围绕病原确定度、症状及并发症记录而不强行检查无关项目。</w:t>
      </w:r>
    </w:p>
    <w:p>
      <w:pPr>
        <w:spacing w:after="100"/>
      </w:pPr>
      <w:r>
        <w:rPr>
          <w:rFonts w:ascii="Arial" w:hAnsi="Arial" w:eastAsia="宋体"/>
          <w:b w:val="0"/>
          <w:color w:val="000000"/>
          <w:sz w:val="21"/>
        </w:rPr>
        <w:t>08 实验室检查：按部位核酸等真实结果，不把检验阳性推定传播时间对象；检查项目按问题选择，未做不写正常。</w:t>
      </w:r>
    </w:p>
    <w:p>
      <w:pPr>
        <w:spacing w:after="100"/>
      </w:pPr>
      <w:r>
        <w:rPr>
          <w:rFonts w:ascii="Arial" w:hAnsi="Arial" w:eastAsia="宋体"/>
          <w:b w:val="0"/>
          <w:color w:val="000000"/>
          <w:sz w:val="21"/>
        </w:rPr>
        <w:t>09 皮肤镜或其他辅助检查：围绕按部位核酸等真实结果，不把检验阳性推定传播时间对象选择必要辅查；没有特定指征不常规添加皮肤镜，普通照不当镜图。</w:t>
      </w:r>
    </w:p>
    <w:p>
      <w:pPr>
        <w:spacing w:after="100"/>
      </w:pPr>
      <w:r>
        <w:rPr>
          <w:rFonts w:ascii="Arial" w:hAnsi="Arial" w:eastAsia="宋体"/>
          <w:b w:val="0"/>
          <w:color w:val="000000"/>
          <w:sz w:val="21"/>
        </w:rPr>
        <w:t>10 病理及免疫检查：采样时点、治疗后核酸残留影响需适用分析。HE、DIF、IIF及抗体按实际诊断问题选择，非典型或疑难再评取材；无适应证不强制。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诊断标准：采用可核实的适用临床及专科体系，按部位核酸等真实结果，不把检验阳性推定传播时间对象；未核全文的评分标准不得凭题录复造。</w:t>
      </w:r>
    </w:p>
    <w:p>
      <w:pPr>
        <w:spacing w:after="100"/>
      </w:pPr>
      <w:r>
        <w:rPr>
          <w:rFonts w:ascii="Arial" w:hAnsi="Arial" w:eastAsia="宋体"/>
          <w:b w:val="0"/>
          <w:color w:val="000000"/>
          <w:sz w:val="21"/>
        </w:rPr>
        <w:t>12 诊断依据：逐条将实际相应部位炎症、分泌物或无症状不能凭照片决定与按部位核酸等真实结果，不把检验阳性推定传播时间对象对应；写本例支持、反对及尚缺证据，保持疑似/初诊/确诊确定度。</w:t>
      </w:r>
    </w:p>
    <w:p>
      <w:pPr>
        <w:spacing w:after="100"/>
      </w:pPr>
      <w:r>
        <w:rPr>
          <w:rFonts w:ascii="Arial" w:hAnsi="Arial" w:eastAsia="宋体"/>
          <w:b w:val="0"/>
          <w:color w:val="000000"/>
          <w:sz w:val="21"/>
        </w:rPr>
        <w:t>13 鉴别诊断：淋病、其他病原与非感染性炎症。每项基于本例支持、反对和下一步验证，不机械写全部排除。</w:t>
      </w:r>
    </w:p>
    <w:p>
      <w:pPr>
        <w:spacing w:after="100"/>
      </w:pPr>
      <w:r>
        <w:rPr>
          <w:rFonts w:ascii="Arial" w:hAnsi="Arial" w:eastAsia="宋体"/>
          <w:b w:val="0"/>
          <w:color w:val="000000"/>
          <w:sz w:val="21"/>
        </w:rPr>
        <w:t>14 分型分期及严重程度：病原确定度、症状及并发症。评分需体系版本、分项、日期和评估者，缺变量不自动算。</w:t>
      </w:r>
    </w:p>
    <w:p>
      <w:pPr>
        <w:spacing w:after="100"/>
      </w:pPr>
      <w:r>
        <w:rPr>
          <w:rFonts w:ascii="Arial" w:hAnsi="Arial" w:eastAsia="宋体"/>
          <w:b w:val="0"/>
          <w:color w:val="000000"/>
          <w:sz w:val="21"/>
        </w:rPr>
        <w:t>15 危急病情识别：盆腔痛发热、睾丸痛或妊娠相关危险及时转诊。危险状态联合06，不等待文书齐全才处置。</w:t>
      </w:r>
    </w:p>
    <w:p>
      <w:pPr>
        <w:spacing w:after="100"/>
      </w:pPr>
      <w:r>
        <w:rPr>
          <w:rFonts w:ascii="Arial" w:hAnsi="Arial" w:eastAsia="宋体"/>
          <w:b w:val="0"/>
          <w:color w:val="000000"/>
          <w:sz w:val="21"/>
        </w:rPr>
        <w:t>16 外用治疗：局部处理仅辅助。该项为决策知识，患者已用与否及用法必须真实。</w:t>
      </w:r>
    </w:p>
    <w:p>
      <w:pPr>
        <w:spacing w:after="100"/>
      </w:pPr>
      <w:r>
        <w:rPr>
          <w:rFonts w:ascii="Arial" w:hAnsi="Arial" w:eastAsia="宋体"/>
          <w:b w:val="0"/>
          <w:color w:val="000000"/>
          <w:sz w:val="21"/>
        </w:rPr>
        <w:t>17 系统治疗：病原针对方案及复查间隔按现行规范和医师决定。不得自动填写剂量频次疗程或疗效，联合07核药物状态。</w:t>
      </w:r>
    </w:p>
    <w:p>
      <w:pPr>
        <w:spacing w:after="100"/>
      </w:pPr>
      <w:r>
        <w:rPr>
          <w:rFonts w:ascii="Arial" w:hAnsi="Arial" w:eastAsia="宋体"/>
          <w:b w:val="0"/>
          <w:color w:val="000000"/>
          <w:sz w:val="21"/>
        </w:rPr>
        <w:t>18 皮肤治疗操作：采样时点、治疗后核酸残留影响需适用分析；操作前后按05，拟实施不得写已实施。</w:t>
      </w:r>
    </w:p>
    <w:p>
      <w:pPr>
        <w:spacing w:after="100"/>
      </w:pPr>
      <w:r>
        <w:rPr>
          <w:rFonts w:ascii="Arial" w:hAnsi="Arial" w:eastAsia="宋体"/>
          <w:b w:val="0"/>
          <w:color w:val="000000"/>
          <w:sz w:val="21"/>
        </w:rPr>
        <w:t>19 相关并发症：优先识别盆腔痛发热、睾丸痛或妊娠相关危险及时转诊；继发感染、瘢痕及药物反应均要实际证据，风险不等已经发生。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病例特点：【真实病史，重点必要病史、既往治疗、妊娠与依从性；当次相应部位炎症、分泌物或无症状不能凭照片决定】</w:t>
        <w:br/>
        <w:t>初步诊断：【生殖道衣原体及其他性传播感染的实际确定度】</w:t>
        <w:br/>
        <w:t>诊断依据：【实际按部位核酸等真实结果，不把检验阳性推定传播时间对象】</w:t>
        <w:br/>
        <w:t>鉴别诊断：【淋病、其他病原与非感染性炎症的支持反对缺口】</w:t>
        <w:br/>
        <w:t>诊疗计划：【医师确认的局部处理仅辅助及必要检查监测；计划与执行分开】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诉【本日症状变化】，查体见【本日相应部位炎症、分泌物或无症状不能凭照片决定的实见部分及黏膜全身】，检查【当时可知结果】。目前考虑【诊断及确定度】，实际治疗【真实执行】，本日重点观察【病原确定度、症状及并发症】，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生殖道衣原体及其他性传播感染当前活动及真实治疗执行、短期反应】，关注【盆腔痛发热、睾丸痛或妊娠相关危险及时转诊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按部位核酸等真实结果，不把检验阳性推定传播时间对象与形态对应、淋病、其他病原与非感染性炎症的鉴别及病原确定度、症状及并发症】，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生殖道衣原体及其他性传播感染疑难证据及系统风险】，就【病原针对方案及复查间隔按现行规范和医师决定涉及的本例重大决策】提出【真实策略与条件】，长期重点【复测和性伴服务按真实意愿授权及公共卫生流程】，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病原确定度、症状及并发症的真实变化及安全检查】，医师决定【实际药物或局部方案】由【原方案】调整为【新方案】，原因【证据】，当前处方及执行【分别状态】，监测【本例盆腔痛发热、睾丸痛或妊娠相关危险及时转诊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采样时点、治疗后核酸残留影响需适用分析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盆腔痛发热、睾丸痛或妊娠相关危险及时转诊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诊疗经过：【按部位核酸等真实结果，不把检验阳性推定传播时间对象的实际结果、药物操作及转归】</w:t>
        <w:br/>
        <w:t>出院诊断：【确定度与版本】</w:t>
        <w:br/>
        <w:t>出院情况：【当次皮损黏膜全身实查】</w:t>
        <w:br/>
        <w:t>医嘱和未决事项：【复测和性伴服务按真实意愿授权及公共卫生流程中适用的确认方案及责任】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用药：【本例真实带药、剂量部位用法疗程及停药项】</w:t>
        <w:br/>
        <w:t>护理：【局部处理仅辅助中已确认部分】</w:t>
        <w:br/>
        <w:t>复诊及监测：【本例实际项目时点责任】</w:t>
        <w:br/>
        <w:t>警示：【盆腔痛发热、睾丸痛或妊娠相关危险及时转诊中需要患者识别的事项】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长期随访：复测和性伴服务按真实意愿授权及公共卫生流程。具体项目、复查频率和责任人来自已确认方案，不统一套固定周期。</w:t>
      </w:r>
    </w:p>
    <w:p>
      <w:pPr>
        <w:spacing w:after="100"/>
      </w:pPr>
      <w:r>
        <w:rPr>
          <w:rFonts w:ascii="Arial" w:hAnsi="Arial" w:eastAsia="宋体"/>
          <w:b w:val="0"/>
          <w:color w:val="000000"/>
          <w:sz w:val="21"/>
        </w:rPr>
        <w:t>31 最终质控：重点核对按部位核酸等真实结果，不把检验阳性推定传播时间对象及病原确定度、症状及并发症；防止将典型表现当事实、风险当并发症、拟治疗当执行。查房层级与真实意见及代码框经10终审。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参考指南及版本：本组适用依据为R20、R21、R22、R30、R34，正式名称、机构、年份、适用范围、核验日期及核验限制见本文件参考章节。未核原表或说明书不补具体推荐。</w:t>
      </w:r>
    </w:p>
    <w:p>
      <w:bookmarkStart w:id="165" w:name="b165"/>
      <w:pPr>
        <w:pStyle w:val="Heading2"/>
      </w:pPr>
      <w:r>
        <w:t>04 生殖器疱疹</w:t>
      </w:r>
      <w:bookmarkEnd w:id="165"/>
    </w:p>
    <w:p>
      <w:pPr>
        <w:spacing w:after="100"/>
      </w:pPr>
      <w:r>
        <w:rPr>
          <w:rFonts w:ascii="Arial" w:hAnsi="Arial" w:eastAsia="宋体"/>
          <w:b w:val="0"/>
          <w:color w:val="000000"/>
          <w:sz w:val="21"/>
        </w:rPr>
        <w:t>01 疾病定义：HSV相关生殖器皮黏膜感染，初发复发需证据。该定义是专业知识，不能代替本例诊断。</w:t>
      </w:r>
    </w:p>
    <w:p>
      <w:pPr>
        <w:spacing w:after="100"/>
      </w:pPr>
      <w:r>
        <w:rPr>
          <w:rFonts w:ascii="Arial" w:hAnsi="Arial" w:eastAsia="宋体"/>
          <w:b w:val="0"/>
          <w:color w:val="000000"/>
          <w:sz w:val="21"/>
        </w:rPr>
        <w:t>02 病因及发病机制：围绕HSV相关生殖器皮黏膜感染，初发复发需证据采集相关线索；患者病因只写已核证据，未证实时保留可能性。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临床表现：症状、全身受累及变化按实际病史与检查；重点核实发作周期、既往病原、妊娠免疫状态，接触史仅必要自愿。</w:t>
      </w:r>
    </w:p>
    <w:p>
      <w:pPr>
        <w:spacing w:after="100"/>
      </w:pPr>
      <w:r>
        <w:rPr>
          <w:rFonts w:ascii="Arial" w:hAnsi="Arial" w:eastAsia="宋体"/>
          <w:b w:val="0"/>
          <w:color w:val="000000"/>
          <w:sz w:val="21"/>
        </w:rPr>
        <w:t>04 典型皮损形态：群集水疱糜烂溃疡，疼痛需询问。典型性只用于鉴别，不自动添加到患者查体。</w:t>
      </w:r>
    </w:p>
    <w:p>
      <w:pPr>
        <w:spacing w:after="100"/>
      </w:pPr>
      <w:r>
        <w:rPr>
          <w:rFonts w:ascii="Arial" w:hAnsi="Arial" w:eastAsia="宋体"/>
          <w:b w:val="0"/>
          <w:color w:val="000000"/>
          <w:sz w:val="21"/>
        </w:rPr>
        <w:t>05 皮损部位及分布：逐病灶记录群集水疱糜烂溃疡，疼痛需询问涉及的实际部位侧别、数量排列对称和范围；不补“全身”。</w:t>
      </w:r>
    </w:p>
    <w:p>
      <w:pPr>
        <w:spacing w:after="100"/>
      </w:pPr>
      <w:r>
        <w:rPr>
          <w:rFonts w:ascii="Arial" w:hAnsi="Arial" w:eastAsia="宋体"/>
          <w:b w:val="0"/>
          <w:color w:val="000000"/>
          <w:sz w:val="21"/>
        </w:rPr>
        <w:t>06 病史采集重点：发作周期、既往病原、妊娠免疫状态，接触史仅必要自愿；保留发病与发现、首次与复发、用药计划与执行的差别。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专科检查：按03实查原发继发皮损、黏膜、毛发甲及必要触诊，围绕首次临床发作不等原发新近感染；复发及重症区分记录而不强行检查无关项目。</w:t>
      </w:r>
    </w:p>
    <w:p>
      <w:pPr>
        <w:spacing w:after="100"/>
      </w:pPr>
      <w:r>
        <w:rPr>
          <w:rFonts w:ascii="Arial" w:hAnsi="Arial" w:eastAsia="宋体"/>
          <w:b w:val="0"/>
          <w:color w:val="000000"/>
          <w:sz w:val="21"/>
        </w:rPr>
        <w:t>08 实验室检查：皮损PCR等优于以单项血清认定当前病灶，阴性受时机影响；检查项目按问题选择，未做不写正常。</w:t>
      </w:r>
    </w:p>
    <w:p>
      <w:pPr>
        <w:spacing w:after="100"/>
      </w:pPr>
      <w:r>
        <w:rPr>
          <w:rFonts w:ascii="Arial" w:hAnsi="Arial" w:eastAsia="宋体"/>
          <w:b w:val="0"/>
          <w:color w:val="000000"/>
          <w:sz w:val="21"/>
        </w:rPr>
        <w:t>09 皮肤镜或其他辅助检查：围绕皮损PCR等优于以单项血清认定当前病灶，阴性受时机影响选择必要辅查；没有特定指征不常规添加皮肤镜，普通照不当镜图。</w:t>
      </w:r>
    </w:p>
    <w:p>
      <w:pPr>
        <w:spacing w:after="100"/>
      </w:pPr>
      <w:r>
        <w:rPr>
          <w:rFonts w:ascii="Arial" w:hAnsi="Arial" w:eastAsia="宋体"/>
          <w:b w:val="0"/>
          <w:color w:val="000000"/>
          <w:sz w:val="21"/>
        </w:rPr>
        <w:t>10 病理及免疫检查：取样隐私与标识核验，不自动拍敏感照片。HE、DIF、IIF及抗体按实际诊断问题选择，非典型或疑难再评取材；无适应证不强制。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诊断标准：采用可核实的适用临床及专科体系，皮损PCR等优于以单项血清认定当前病灶，阴性受时机影响；未核全文的评分标准不得凭题录复造。</w:t>
      </w:r>
    </w:p>
    <w:p>
      <w:pPr>
        <w:spacing w:after="100"/>
      </w:pPr>
      <w:r>
        <w:rPr>
          <w:rFonts w:ascii="Arial" w:hAnsi="Arial" w:eastAsia="宋体"/>
          <w:b w:val="0"/>
          <w:color w:val="000000"/>
          <w:sz w:val="21"/>
        </w:rPr>
        <w:t>12 诊断依据：逐条将实际群集水疱糜烂溃疡，疼痛需询问与皮损PCR等优于以单项血清认定当前病灶，阴性受时机影响对应；写本例支持、反对及尚缺证据，保持疑似/初诊/确诊确定度。</w:t>
      </w:r>
    </w:p>
    <w:p>
      <w:pPr>
        <w:spacing w:after="100"/>
      </w:pPr>
      <w:r>
        <w:rPr>
          <w:rFonts w:ascii="Arial" w:hAnsi="Arial" w:eastAsia="宋体"/>
          <w:b w:val="0"/>
          <w:color w:val="000000"/>
          <w:sz w:val="21"/>
        </w:rPr>
        <w:t>13 鉴别诊断：梅毒溃疡、固定型药疹、白塞病、创伤和感染。每项基于本例支持、反对和下一步验证，不机械写全部排除。</w:t>
      </w:r>
    </w:p>
    <w:p>
      <w:pPr>
        <w:spacing w:after="100"/>
      </w:pPr>
      <w:r>
        <w:rPr>
          <w:rFonts w:ascii="Arial" w:hAnsi="Arial" w:eastAsia="宋体"/>
          <w:b w:val="0"/>
          <w:color w:val="000000"/>
          <w:sz w:val="21"/>
        </w:rPr>
        <w:t>14 分型分期及严重程度：首次临床发作不等原发新近感染；复发及重症区分。评分需体系版本、分项、日期和评估者，缺变量不自动算。</w:t>
      </w:r>
    </w:p>
    <w:p>
      <w:pPr>
        <w:spacing w:after="100"/>
      </w:pPr>
      <w:r>
        <w:rPr>
          <w:rFonts w:ascii="Arial" w:hAnsi="Arial" w:eastAsia="宋体"/>
          <w:b w:val="0"/>
          <w:color w:val="000000"/>
          <w:sz w:val="21"/>
        </w:rPr>
        <w:t>15 危急病情识别：妊娠临产、尿潴留、神经播散及免疫抑制重症。危险状态联合06，不等待文书齐全才处置。</w:t>
      </w:r>
    </w:p>
    <w:p>
      <w:pPr>
        <w:spacing w:after="100"/>
      </w:pPr>
      <w:r>
        <w:rPr>
          <w:rFonts w:ascii="Arial" w:hAnsi="Arial" w:eastAsia="宋体"/>
          <w:b w:val="0"/>
          <w:color w:val="000000"/>
          <w:sz w:val="21"/>
        </w:rPr>
        <w:t>16 外用治疗：创面保护，局部药不替有指征系统方案。该项为决策知识，患者已用与否及用法必须真实。</w:t>
      </w:r>
    </w:p>
    <w:p>
      <w:pPr>
        <w:spacing w:after="100"/>
      </w:pPr>
      <w:r>
        <w:rPr>
          <w:rFonts w:ascii="Arial" w:hAnsi="Arial" w:eastAsia="宋体"/>
          <w:b w:val="0"/>
          <w:color w:val="000000"/>
          <w:sz w:val="21"/>
        </w:rPr>
        <w:t>17 系统治疗：抗病毒及抑制治疗基于医师确认、肾功能和妊娠，不编剂量。不得自动填写剂量频次疗程或疗效，联合07核药物状态。</w:t>
      </w:r>
    </w:p>
    <w:p>
      <w:pPr>
        <w:spacing w:after="100"/>
      </w:pPr>
      <w:r>
        <w:rPr>
          <w:rFonts w:ascii="Arial" w:hAnsi="Arial" w:eastAsia="宋体"/>
          <w:b w:val="0"/>
          <w:color w:val="000000"/>
          <w:sz w:val="21"/>
        </w:rPr>
        <w:t>18 皮肤治疗操作：取样隐私与标识核验，不自动拍敏感照片；操作前后按05，拟实施不得写已实施。</w:t>
      </w:r>
    </w:p>
    <w:p>
      <w:pPr>
        <w:spacing w:after="100"/>
      </w:pPr>
      <w:r>
        <w:rPr>
          <w:rFonts w:ascii="Arial" w:hAnsi="Arial" w:eastAsia="宋体"/>
          <w:b w:val="0"/>
          <w:color w:val="000000"/>
          <w:sz w:val="21"/>
        </w:rPr>
        <w:t>19 相关并发症：优先识别妊娠临产、尿潴留、神经播散及免疫抑制重症；继发感染、瘢痕及药物反应均要实际证据，风险不等已经发生。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病例特点：【真实病史，重点发作周期、既往病原、妊娠免疫状态，接触史仅必要自愿；当次群集水疱糜烂溃疡，疼痛需询问】</w:t>
        <w:br/>
        <w:t>初步诊断：【生殖器疱疹的实际确定度】</w:t>
        <w:br/>
        <w:t>诊断依据：【实际皮损PCR等优于以单项血清认定当前病灶，阴性受时机影响】</w:t>
        <w:br/>
        <w:t>鉴别诊断：【梅毒溃疡、固定型药疹、白塞病、创伤和感染的支持反对缺口】</w:t>
        <w:br/>
        <w:t>诊疗计划：【医师确认的创面保护，局部药不替有指征系统方案及必要检查监测；计划与执行分开】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群集水疱糜烂溃疡，疼痛需询问的实见部分及黏膜全身】，检查【当时可知结果】。目前考虑【诊断及确定度】，实际治疗【真实执行】，本日重点观察【首次临床发作不等原发新近感染；复发及重症区分】，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姓名】主治医师查房，患者【真实症状】，查体【当次形态范围】，检查【可知结果】。主治医师分析【生殖器疱疹当前活动及真实治疗执行、短期反应】，关注【妊娠临产、尿潴留、神经播散及免疫抑制重症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皮损PCR等优于以单项血清认定当前病灶，阴性受时机影响与形态对应、梅毒溃疡、固定型药疹、白塞病、创伤和感染的鉴别及首次临床发作不等原发新近感染；复发及重症区分】，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生殖器疱疹疑难证据及系统风险】，就【抗病毒及抑制治疗基于医师确认、肾功能和妊娠，不编剂量涉及的本例重大决策】提出【真实策略与条件】，长期重点【复发计划及传染风险沟通按实际记录，不推断性行为身份】，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首次临床发作不等原发新近感染；复发及重症区分的真实变化及安全检查】，医师决定【实际药物或局部方案】由【原方案】调整为【新方案】，原因【证据】，当前处方及执行【分别状态】，监测【本例妊娠临产、尿潴留、神经播散及免疫抑制重症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取样隐私与标识核验，不自动拍敏感照片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妊娠临产、尿潴留、神经播散及免疫抑制重症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诊疗经过：【皮损PCR等优于以单项血清认定当前病灶，阴性受时机影响的实际结果、药物操作及转归】</w:t>
        <w:br/>
        <w:t>出院诊断：【确定度与版本】</w:t>
        <w:br/>
        <w:t>出院情况：【当次皮损黏膜全身实查】</w:t>
        <w:br/>
        <w:t>医嘱和未决事项：【复发计划及传染风险沟通按实际记录，不推断性行为身份中适用的确认方案及责任】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护理：【创面保护，局部药不替有指征系统方案中已确认部分】</w:t>
        <w:br/>
        <w:t>复诊及监测：【本例实际项目时点责任】</w:t>
        <w:br/>
        <w:t>警示：【妊娠临产、尿潴留、神经播散及免疫抑制重症中需要患者识别的事项】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长期随访：复发计划及传染风险沟通按实际记录，不推断性行为身份。具体项目、复查频率和责任人来自已确认方案，不统一套固定周期。</w:t>
      </w:r>
    </w:p>
    <w:p>
      <w:pPr>
        <w:spacing w:after="100"/>
      </w:pPr>
      <w:r>
        <w:rPr>
          <w:rFonts w:ascii="Arial" w:hAnsi="Arial" w:eastAsia="宋体"/>
          <w:b w:val="0"/>
          <w:color w:val="000000"/>
          <w:sz w:val="21"/>
        </w:rPr>
        <w:t>31 最终质控：重点核对皮损PCR等优于以单项血清认定当前病灶，阴性受时机影响及首次临床发作不等原发新近感染；复发及重症区分；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参考指南及版本：本组适用依据为R20、R21、R22、R30、R34，正式名称、机构、年份、适用范围、核验日期及核验限制见本文件参考章节。未核原表或说明书不补具体推荐。</w:t>
      </w:r>
    </w:p>
    <w:p>
      <w:bookmarkStart w:id="208" w:name="b208"/>
      <w:pPr>
        <w:pStyle w:val="Heading2"/>
      </w:pPr>
      <w:r>
        <w:t>05 生殖器HPV及尖锐湿疣</w:t>
      </w:r>
      <w:bookmarkEnd w:id="208"/>
    </w:p>
    <w:p>
      <w:pPr>
        <w:spacing w:after="100"/>
      </w:pPr>
      <w:r>
        <w:rPr>
          <w:rFonts w:ascii="Arial" w:hAnsi="Arial" w:eastAsia="宋体"/>
          <w:b w:val="0"/>
          <w:color w:val="000000"/>
          <w:sz w:val="21"/>
        </w:rPr>
        <w:t>01 疾病定义：HPV相关黏膜皮肤疣与单纯检出病毒分开。该定义是专业知识，不能代替本例诊断。</w:t>
      </w:r>
    </w:p>
    <w:p>
      <w:pPr>
        <w:spacing w:after="100"/>
      </w:pPr>
      <w:r>
        <w:rPr>
          <w:rFonts w:ascii="Arial" w:hAnsi="Arial" w:eastAsia="宋体"/>
          <w:b w:val="0"/>
          <w:color w:val="000000"/>
          <w:sz w:val="21"/>
        </w:rPr>
        <w:t>02 病因及发病机制：围绕HPV相关黏膜皮肤疣与单纯检出病毒分开采集相关线索；患者病因只写已核证据，未证实时保留可能性。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临床表现：症状、全身受累及变化按实际病史与检查；重点核实持续复发、既往治疗、免疫状态及妊娠。</w:t>
      </w:r>
    </w:p>
    <w:p>
      <w:pPr>
        <w:spacing w:after="100"/>
      </w:pPr>
      <w:r>
        <w:rPr>
          <w:rFonts w:ascii="Arial" w:hAnsi="Arial" w:eastAsia="宋体"/>
          <w:b w:val="0"/>
          <w:color w:val="000000"/>
          <w:sz w:val="21"/>
        </w:rPr>
        <w:t>04 典型皮损形态：乳头状疣状丘疹，数量位置范围只记录必要内容。典型性只用于鉴别，不自动添加到患者查体。</w:t>
      </w:r>
    </w:p>
    <w:p>
      <w:pPr>
        <w:spacing w:after="100"/>
      </w:pPr>
      <w:r>
        <w:rPr>
          <w:rFonts w:ascii="Arial" w:hAnsi="Arial" w:eastAsia="宋体"/>
          <w:b w:val="0"/>
          <w:color w:val="000000"/>
          <w:sz w:val="21"/>
        </w:rPr>
        <w:t>05 皮损部位及分布：逐病灶记录乳头状疣状丘疹，数量位置范围只记录必要内容涉及的实际部位侧别、数量排列对称和范围；不补“全身”。</w:t>
      </w:r>
    </w:p>
    <w:p>
      <w:pPr>
        <w:spacing w:after="100"/>
      </w:pPr>
      <w:r>
        <w:rPr>
          <w:rFonts w:ascii="Arial" w:hAnsi="Arial" w:eastAsia="宋体"/>
          <w:b w:val="0"/>
          <w:color w:val="000000"/>
          <w:sz w:val="21"/>
        </w:rPr>
        <w:t>06 病史采集重点：持续复发、既往治疗、免疫状态及妊娠；保留发病与发现、首次与复发、用药计划与执行的差别。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专科检查：按03实查原发继发皮损、黏膜、毛发甲及必要触诊，围绕可见疣、亚临床检测和上皮内病变分层记录而不强行检查无关项目。</w:t>
      </w:r>
    </w:p>
    <w:p>
      <w:pPr>
        <w:spacing w:after="100"/>
      </w:pPr>
      <w:r>
        <w:rPr>
          <w:rFonts w:ascii="Arial" w:hAnsi="Arial" w:eastAsia="宋体"/>
          <w:b w:val="0"/>
          <w:color w:val="000000"/>
          <w:sz w:val="21"/>
        </w:rPr>
        <w:t>08 实验室检查：临床、必要病理；HPV阳性不等所有皮损均为疣，不替癌筛查；检查项目按问题选择，未做不写正常。</w:t>
      </w:r>
    </w:p>
    <w:p>
      <w:pPr>
        <w:spacing w:after="100"/>
      </w:pPr>
      <w:r>
        <w:rPr>
          <w:rFonts w:ascii="Arial" w:hAnsi="Arial" w:eastAsia="宋体"/>
          <w:b w:val="0"/>
          <w:color w:val="000000"/>
          <w:sz w:val="21"/>
        </w:rPr>
        <w:t>09 皮肤镜或其他辅助检查：围绕临床、必要病理；HPV阳性不等所有皮损均为疣，不替癌筛查选择必要辅查；没有特定指征不常规添加皮肤镜，普通照不当镜图。</w:t>
      </w:r>
    </w:p>
    <w:p>
      <w:pPr>
        <w:spacing w:after="100"/>
      </w:pPr>
      <w:r>
        <w:rPr>
          <w:rFonts w:ascii="Arial" w:hAnsi="Arial" w:eastAsia="宋体"/>
          <w:b w:val="0"/>
          <w:color w:val="000000"/>
          <w:sz w:val="21"/>
        </w:rPr>
        <w:t>10 病理及免疫检查：冷冻激光等须定位授权真参数；有恶性疑点先取材。HE、DIF、IIF及抗体按实际诊断问题选择，非典型或疑难再评取材；无适应证不强制。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诊断标准：采用可核实的适用临床及专科体系，临床、必要病理；HPV阳性不等所有皮损均为疣，不替癌筛查；未核全文的评分标准不得凭题录复造。</w:t>
      </w:r>
    </w:p>
    <w:p>
      <w:pPr>
        <w:spacing w:after="100"/>
      </w:pPr>
      <w:r>
        <w:rPr>
          <w:rFonts w:ascii="Arial" w:hAnsi="Arial" w:eastAsia="宋体"/>
          <w:b w:val="0"/>
          <w:color w:val="000000"/>
          <w:sz w:val="21"/>
        </w:rPr>
        <w:t>12 诊断依据：逐条将实际乳头状疣状丘疹，数量位置范围只记录必要内容与临床、必要病理；HPV阳性不等所有皮损均为疣，不替癌筛查对应；写本例支持、反对及尚缺证据，保持疑似/初诊/确诊确定度。</w:t>
      </w:r>
    </w:p>
    <w:p>
      <w:pPr>
        <w:spacing w:after="100"/>
      </w:pPr>
      <w:r>
        <w:rPr>
          <w:rFonts w:ascii="Arial" w:hAnsi="Arial" w:eastAsia="宋体"/>
          <w:b w:val="0"/>
          <w:color w:val="000000"/>
          <w:sz w:val="21"/>
        </w:rPr>
        <w:t>13 鉴别诊断：珍珠样丘疹、假性湿疣、扁平湿疣、鲍温病及癌。每项基于本例支持、反对和下一步验证，不机械写全部排除。</w:t>
      </w:r>
    </w:p>
    <w:p>
      <w:pPr>
        <w:spacing w:after="100"/>
      </w:pPr>
      <w:r>
        <w:rPr>
          <w:rFonts w:ascii="Arial" w:hAnsi="Arial" w:eastAsia="宋体"/>
          <w:b w:val="0"/>
          <w:color w:val="000000"/>
          <w:sz w:val="21"/>
        </w:rPr>
        <w:t>14 分型分期及严重程度：可见疣、亚临床检测和上皮内病变分层。评分需体系版本、分项、日期和评估者，缺变量不自动算。</w:t>
      </w:r>
    </w:p>
    <w:p>
      <w:pPr>
        <w:spacing w:after="100"/>
      </w:pPr>
      <w:r>
        <w:rPr>
          <w:rFonts w:ascii="Arial" w:hAnsi="Arial" w:eastAsia="宋体"/>
          <w:b w:val="0"/>
          <w:color w:val="000000"/>
          <w:sz w:val="21"/>
        </w:rPr>
        <w:t>15 危急病情识别：色素不均、硬结溃疡出血或治疗失败需病理排恶变。危险状态联合06，不等待文书齐全才处置。</w:t>
      </w:r>
    </w:p>
    <w:p>
      <w:pPr>
        <w:spacing w:after="100"/>
      </w:pPr>
      <w:r>
        <w:rPr>
          <w:rFonts w:ascii="Arial" w:hAnsi="Arial" w:eastAsia="宋体"/>
          <w:b w:val="0"/>
          <w:color w:val="000000"/>
          <w:sz w:val="21"/>
        </w:rPr>
        <w:t>16 外用治疗：按部位妊娠及说明书选外用，不能泛用普通疣腐蚀制剂。该项为决策知识，患者已用与否及用法必须真实。</w:t>
      </w:r>
    </w:p>
    <w:p>
      <w:pPr>
        <w:spacing w:after="100"/>
      </w:pPr>
      <w:r>
        <w:rPr>
          <w:rFonts w:ascii="Arial" w:hAnsi="Arial" w:eastAsia="宋体"/>
          <w:b w:val="0"/>
          <w:color w:val="000000"/>
          <w:sz w:val="21"/>
        </w:rPr>
        <w:t>17 系统治疗：不自动生成全身抗病毒或所谓清除HPV疗程。不得自动填写剂量频次疗程或疗效，联合07核药物状态。</w:t>
      </w:r>
    </w:p>
    <w:p>
      <w:pPr>
        <w:spacing w:after="100"/>
      </w:pPr>
      <w:r>
        <w:rPr>
          <w:rFonts w:ascii="Arial" w:hAnsi="Arial" w:eastAsia="宋体"/>
          <w:b w:val="0"/>
          <w:color w:val="000000"/>
          <w:sz w:val="21"/>
        </w:rPr>
        <w:t>18 皮肤治疗操作：冷冻激光等须定位授权真参数；有恶性疑点先取材；操作前后按05，拟实施不得写已实施。</w:t>
      </w:r>
    </w:p>
    <w:p>
      <w:pPr>
        <w:spacing w:after="100"/>
      </w:pPr>
      <w:r>
        <w:rPr>
          <w:rFonts w:ascii="Arial" w:hAnsi="Arial" w:eastAsia="宋体"/>
          <w:b w:val="0"/>
          <w:color w:val="000000"/>
          <w:sz w:val="21"/>
        </w:rPr>
        <w:t>19 相关并发症：优先识别色素不均、硬结溃疡出血或治疗失败需病理排恶变；继发感染、瘢痕及药物反应均要实际证据，风险不等已经发生。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病例特点：【真实病史，重点持续复发、既往治疗、免疫状态及妊娠；当次乳头状疣状丘疹，数量位置范围只记录必要内容】</w:t>
        <w:br/>
        <w:t>初步诊断：【生殖器HPV及尖锐湿疣的实际确定度】</w:t>
        <w:br/>
        <w:t>诊断依据：【实际临床、必要病理；HPV阳性不等所有皮损均为疣，不替癌筛查】</w:t>
        <w:br/>
        <w:t>鉴别诊断：【珍珠样丘疹、假性湿疣、扁平湿疣、鲍温病及癌的支持反对缺口】</w:t>
        <w:br/>
        <w:t>诊疗计划：【医师确认的按部位妊娠及说明书选外用，不能泛用普通疣腐蚀制剂及必要检查监测；计划与执行分开】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乳头状疣状丘疹，数量位置范围只记录必要内容的实见部分及黏膜全身】，检查【当时可知结果】。目前考虑【诊断及确定度】，实际治疗【真实执行】，本日重点观察【可见疣、亚临床检测和上皮内病变分层】，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生殖器HPV及尖锐湿疣当前活动及真实治疗执行、短期反应】，关注【色素不均、硬结溃疡出血或治疗失败需病理排恶变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临床、必要病理；HPV阳性不等所有皮损均为疣，不替癌筛查与形态对应、珍珠样丘疹、假性湿疣、扁平湿疣、鲍温病及癌的鉴别及可见疣、亚临床检测和上皮内病变分层】，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生殖器HPV及尖锐湿疣疑难证据及系统风险】，就【不自动生成全身抗病毒或所谓清除HPV疗程涉及的本例重大决策】提出【真实策略与条件】，长期重点【可见疣消失不等病毒清除，复发与筛查协作分开】，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可见疣、亚临床检测和上皮内病变分层的真实变化及安全检查】，医师决定【实际药物或局部方案】由【原方案】调整为【新方案】，原因【证据】，当前处方及执行【分别状态】，监测【本例色素不均、硬结溃疡出血或治疗失败需病理排恶变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冷冻激光等须定位授权真参数；有恶性疑点先取材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色素不均、硬结溃疡出血或治疗失败需病理排恶变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诊疗经过：【临床、必要病理；HPV阳性不等所有皮损均为疣，不替癌筛查的实际结果、药物操作及转归】</w:t>
        <w:br/>
        <w:t>出院诊断：【确定度与版本】</w:t>
        <w:br/>
        <w:t>出院情况：【当次皮损黏膜全身实查】</w:t>
        <w:br/>
        <w:t>医嘱和未决事项：【可见疣消失不等病毒清除，复发与筛查协作分开中适用的确认方案及责任】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护理：【按部位妊娠及说明书选外用，不能泛用普通疣腐蚀制剂中已确认部分】</w:t>
        <w:br/>
        <w:t>复诊及监测：【本例实际项目时点责任】</w:t>
        <w:br/>
        <w:t>警示：【色素不均、硬结溃疡出血或治疗失败需病理排恶变中需要患者识别的事项】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长期随访：可见疣消失不等病毒清除，复发与筛查协作分开。具体项目、复查频率和责任人来自已确认方案，不统一套固定周期。</w:t>
      </w:r>
    </w:p>
    <w:p>
      <w:pPr>
        <w:spacing w:after="100"/>
      </w:pPr>
      <w:r>
        <w:rPr>
          <w:rFonts w:ascii="Arial" w:hAnsi="Arial" w:eastAsia="宋体"/>
          <w:b w:val="0"/>
          <w:color w:val="000000"/>
          <w:sz w:val="21"/>
        </w:rPr>
        <w:t>31 最终质控：重点核对临床、必要病理；HPV阳性不等所有皮损均为疣，不替癌筛查及可见疣、亚临床检测和上皮内病变分层；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参考指南及版本：本组适用依据为R20、R21、R22、R30、R34，正式名称、机构、年份、适用范围、核验日期及核验限制见本文件参考章节。未核原表或说明书不补具体推荐。</w:t>
      </w:r>
    </w:p>
    <w:p>
      <w:bookmarkStart w:id="251" w:name="b251"/>
      <w:pPr>
        <w:pStyle w:val="Heading2"/>
      </w:pPr>
      <w:r>
        <w:t>06 HIV相关皮肤表现</w:t>
      </w:r>
      <w:bookmarkEnd w:id="251"/>
    </w:p>
    <w:p>
      <w:pPr>
        <w:spacing w:after="100"/>
      </w:pPr>
      <w:r>
        <w:rPr>
          <w:rFonts w:ascii="Arial" w:hAnsi="Arial" w:eastAsia="宋体"/>
          <w:b w:val="0"/>
          <w:color w:val="000000"/>
          <w:sz w:val="21"/>
        </w:rPr>
        <w:t>01 疾病定义：HIV感染者可有感染、炎症、肿瘤及药物反应多种皮损。该定义是专业知识，不能代替本例诊断。</w:t>
      </w:r>
    </w:p>
    <w:p>
      <w:pPr>
        <w:spacing w:after="100"/>
      </w:pPr>
      <w:r>
        <w:rPr>
          <w:rFonts w:ascii="Arial" w:hAnsi="Arial" w:eastAsia="宋体"/>
          <w:b w:val="0"/>
          <w:color w:val="000000"/>
          <w:sz w:val="21"/>
        </w:rPr>
        <w:t>02 病因及发病机制：围绕HIV感染者可有感染、炎症、肿瘤及药物反应多种皮损采集相关线索；患者病因只写已核证据，未证实时保留可能性。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临床表现：症状、全身受累及变化按实际病史与检查；重点核实既往确诊与治疗、免疫状态机会感染和药物时序。</w:t>
      </w:r>
    </w:p>
    <w:p>
      <w:pPr>
        <w:spacing w:after="100"/>
      </w:pPr>
      <w:r>
        <w:rPr>
          <w:rFonts w:ascii="Arial" w:hAnsi="Arial" w:eastAsia="宋体"/>
          <w:b w:val="0"/>
          <w:color w:val="000000"/>
          <w:sz w:val="21"/>
        </w:rPr>
        <w:t>04 典型皮损形态：根据具体皮损记录，不以某种外观诊断HIV。典型性只用于鉴别，不自动添加到患者查体。</w:t>
      </w:r>
    </w:p>
    <w:p>
      <w:pPr>
        <w:spacing w:after="100"/>
      </w:pPr>
      <w:r>
        <w:rPr>
          <w:rFonts w:ascii="Arial" w:hAnsi="Arial" w:eastAsia="宋体"/>
          <w:b w:val="0"/>
          <w:color w:val="000000"/>
          <w:sz w:val="21"/>
        </w:rPr>
        <w:t>05 皮损部位及分布：逐病灶记录根据具体皮损记录，不以某种外观诊断HIV涉及的实际部位侧别、数量排列对称和范围；不补“全身”。</w:t>
      </w:r>
    </w:p>
    <w:p>
      <w:pPr>
        <w:spacing w:after="100"/>
      </w:pPr>
      <w:r>
        <w:rPr>
          <w:rFonts w:ascii="Arial" w:hAnsi="Arial" w:eastAsia="宋体"/>
          <w:b w:val="0"/>
          <w:color w:val="000000"/>
          <w:sz w:val="21"/>
        </w:rPr>
        <w:t>06 病史采集重点：既往确诊与治疗、免疫状态机会感染和药物时序；保留发病与发现、首次与复发、用药计划与执行的差别。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专科检查：按03实查原发继发皮损、黏膜、毛发甲及必要触诊，围绕HIV感染状态、免疫程度与皮肤诊断分别管理记录而不强行检查无关项目。</w:t>
      </w:r>
    </w:p>
    <w:p>
      <w:pPr>
        <w:spacing w:after="100"/>
      </w:pPr>
      <w:r>
        <w:rPr>
          <w:rFonts w:ascii="Arial" w:hAnsi="Arial" w:eastAsia="宋体"/>
          <w:b w:val="0"/>
          <w:color w:val="000000"/>
          <w:sz w:val="21"/>
        </w:rPr>
        <w:t>08 实验室检查：HIV确证依检测流程，皮损病原病理单独证据，CD4等真实时间；检查项目按问题选择，未做不写正常。</w:t>
      </w:r>
    </w:p>
    <w:p>
      <w:pPr>
        <w:spacing w:after="100"/>
      </w:pPr>
      <w:r>
        <w:rPr>
          <w:rFonts w:ascii="Arial" w:hAnsi="Arial" w:eastAsia="宋体"/>
          <w:b w:val="0"/>
          <w:color w:val="000000"/>
          <w:sz w:val="21"/>
        </w:rPr>
        <w:t>09 皮肤镜或其他辅助检查：围绕HIV确证依检测流程，皮损病原病理单独证据，CD4等真实时间选择必要辅查；没有特定指征不常规添加皮肤镜，普通照不当镜图。</w:t>
      </w:r>
    </w:p>
    <w:p>
      <w:pPr>
        <w:spacing w:after="100"/>
      </w:pPr>
      <w:r>
        <w:rPr>
          <w:rFonts w:ascii="Arial" w:hAnsi="Arial" w:eastAsia="宋体"/>
          <w:b w:val="0"/>
          <w:color w:val="000000"/>
          <w:sz w:val="21"/>
        </w:rPr>
        <w:t>10 病理及免疫检查：需要取样按常规防护及权限，不添加污名化隔离。HE、DIF、IIF及抗体按实际诊断问题选择，非典型或疑难再评取材；无适应证不强制。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诊断标准：采用可核实的适用临床及专科体系，HIV确证依检测流程，皮损病原病理单独证据，CD4等真实时间；未核全文的评分标准不得凭题录复造。</w:t>
      </w:r>
    </w:p>
    <w:p>
      <w:pPr>
        <w:spacing w:after="100"/>
      </w:pPr>
      <w:r>
        <w:rPr>
          <w:rFonts w:ascii="Arial" w:hAnsi="Arial" w:eastAsia="宋体"/>
          <w:b w:val="0"/>
          <w:color w:val="000000"/>
          <w:sz w:val="21"/>
        </w:rPr>
        <w:t>12 诊断依据：逐条将实际根据具体皮损记录，不以某种外观诊断HIV与HIV确证依检测流程，皮损病原病理单独证据，CD4等真实时间对应；写本例支持、反对及尚缺证据，保持疑似/初诊/确诊确定度。</w:t>
      </w:r>
    </w:p>
    <w:p>
      <w:pPr>
        <w:spacing w:after="100"/>
      </w:pPr>
      <w:r>
        <w:rPr>
          <w:rFonts w:ascii="Arial" w:hAnsi="Arial" w:eastAsia="宋体"/>
          <w:b w:val="0"/>
          <w:color w:val="000000"/>
          <w:sz w:val="21"/>
        </w:rPr>
        <w:t>13 鉴别诊断：普通常见皮肤病、机会感染、肿瘤及药疹。每项基于本例支持、反对和下一步验证，不机械写全部排除。</w:t>
      </w:r>
    </w:p>
    <w:p>
      <w:pPr>
        <w:spacing w:after="100"/>
      </w:pPr>
      <w:r>
        <w:rPr>
          <w:rFonts w:ascii="Arial" w:hAnsi="Arial" w:eastAsia="宋体"/>
          <w:b w:val="0"/>
          <w:color w:val="000000"/>
          <w:sz w:val="21"/>
        </w:rPr>
        <w:t>14 分型分期及严重程度：HIV感染状态、免疫程度与皮肤诊断分别管理。评分需体系版本、分项、日期和评估者，缺变量不自动算。</w:t>
      </w:r>
    </w:p>
    <w:p>
      <w:pPr>
        <w:spacing w:after="100"/>
      </w:pPr>
      <w:r>
        <w:rPr>
          <w:rFonts w:ascii="Arial" w:hAnsi="Arial" w:eastAsia="宋体"/>
          <w:b w:val="0"/>
          <w:color w:val="000000"/>
          <w:sz w:val="21"/>
        </w:rPr>
        <w:t>15 危急病情识别：播散感染、严重药疹、器官症状需皮肤感染及相关团队。危险状态联合06，不等待文书齐全才处置。</w:t>
      </w:r>
    </w:p>
    <w:p>
      <w:pPr>
        <w:spacing w:after="100"/>
      </w:pPr>
      <w:r>
        <w:rPr>
          <w:rFonts w:ascii="Arial" w:hAnsi="Arial" w:eastAsia="宋体"/>
          <w:b w:val="0"/>
          <w:color w:val="000000"/>
          <w:sz w:val="21"/>
        </w:rPr>
        <w:t>16 外用治疗：局部方案按具体疾病，不给统一HIV皮损外用药。该项为决策知识，患者已用与否及用法必须真实。</w:t>
      </w:r>
    </w:p>
    <w:p>
      <w:pPr>
        <w:spacing w:after="100"/>
      </w:pPr>
      <w:r>
        <w:rPr>
          <w:rFonts w:ascii="Arial" w:hAnsi="Arial" w:eastAsia="宋体"/>
          <w:b w:val="0"/>
          <w:color w:val="000000"/>
          <w:sz w:val="21"/>
        </w:rPr>
        <w:t>17 系统治疗：核抗病毒药与抗真菌抗菌及免疫药相互作用；不自行更改ART。不得自动填写剂量频次疗程或疗效，联合07核药物状态。</w:t>
      </w:r>
    </w:p>
    <w:p>
      <w:pPr>
        <w:spacing w:after="100"/>
      </w:pPr>
      <w:r>
        <w:rPr>
          <w:rFonts w:ascii="Arial" w:hAnsi="Arial" w:eastAsia="宋体"/>
          <w:b w:val="0"/>
          <w:color w:val="000000"/>
          <w:sz w:val="21"/>
        </w:rPr>
        <w:t>18 皮肤治疗操作：需要取样按常规防护及权限，不添加污名化隔离；操作前后按05，拟实施不得写已实施。</w:t>
      </w:r>
    </w:p>
    <w:p>
      <w:pPr>
        <w:spacing w:after="100"/>
      </w:pPr>
      <w:r>
        <w:rPr>
          <w:rFonts w:ascii="Arial" w:hAnsi="Arial" w:eastAsia="宋体"/>
          <w:b w:val="0"/>
          <w:color w:val="000000"/>
          <w:sz w:val="21"/>
        </w:rPr>
        <w:t>19 相关并发症：优先识别播散感染、严重药疹、器官症状需皮肤感染及相关团队；继发感染、瘢痕及药物反应均要实际证据，风险不等已经发生。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病例特点：【真实病史，重点既往确诊与治疗、免疫状态机会感染和药物时序；当次根据具体皮损记录，不以某种外观诊断HIV】</w:t>
        <w:br/>
        <w:t>初步诊断：【HIV相关皮肤表现的实际确定度】</w:t>
        <w:br/>
        <w:t>诊断依据：【实际HIV确证依检测流程，皮损病原病理单独证据，CD4等真实时间】</w:t>
        <w:br/>
        <w:t>鉴别诊断：【普通常见皮肤病、机会感染、肿瘤及药疹的支持反对缺口】</w:t>
        <w:br/>
        <w:t>诊疗计划：【医师确认的局部方案按具体疾病，不给统一HIV皮损外用药及必要检查监测；计划与执行分开】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根据具体皮损记录，不以某种外观诊断HIV的实见部分及黏膜全身】，检查【当时可知结果】。目前考虑【诊断及确定度】，实际治疗【真实执行】，本日重点观察【HIV感染状态、免疫程度与皮肤诊断分别管理】，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HIV相关皮肤表现当前活动及真实治疗执行、短期反应】，关注【播散感染、严重药疹、器官症状需皮肤感染及相关团队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HIV确证依检测流程，皮损病原病理单独证据，CD4等真实时间与形态对应、普通常见皮肤病、机会感染、肿瘤及药疹的鉴别及HIV感染状态、免疫程度与皮肤诊断分别管理】，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HIV相关皮肤表现疑难证据及系统风险】，就【核抗病毒药与抗真菌抗菌及免疫药相互作用；不自行更改ART涉及的本例重大决策】提出【真实策略与条件】，长期重点【皮肤疗效与HIV诊疗协同，敏感结果最小访问】，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HIV感染状态、免疫程度与皮肤诊断分别管理的真实变化及安全检查】，医师决定【实际药物或局部方案】由【原方案】调整为【新方案】，原因【证据】，当前处方及执行【分别状态】，监测【本例播散感染、严重药疹、器官症状需皮肤感染及相关团队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需要取样按常规防护及权限，不添加污名化隔离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播散感染、严重药疹、器官症状需皮肤感染及相关团队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诊疗经过：【HIV确证依检测流程，皮损病原病理单独证据，CD4等真实时间的实际结果、药物操作及转归】</w:t>
        <w:br/>
        <w:t>出院诊断：【确定度与版本】</w:t>
        <w:br/>
        <w:t>出院情况：【当次皮损黏膜全身实查】</w:t>
        <w:br/>
        <w:t>医嘱和未决事项：【皮肤疗效与HIV诊疗协同，敏感结果最小访问中适用的确认方案及责任】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护理：【局部方案按具体疾病，不给统一HIV皮损外用药中已确认部分】</w:t>
        <w:br/>
        <w:t>复诊及监测：【本例实际项目时点责任】</w:t>
        <w:br/>
        <w:t>警示：【播散感染、严重药疹、器官症状需皮肤感染及相关团队中需要患者识别的事项】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长期随访：皮肤疗效与HIV诊疗协同，敏感结果最小访问。具体项目、复查频率和责任人来自已确认方案，不统一套固定周期。</w:t>
      </w:r>
    </w:p>
    <w:p>
      <w:pPr>
        <w:spacing w:after="100"/>
      </w:pPr>
      <w:r>
        <w:rPr>
          <w:rFonts w:ascii="Arial" w:hAnsi="Arial" w:eastAsia="宋体"/>
          <w:b w:val="0"/>
          <w:color w:val="000000"/>
          <w:sz w:val="21"/>
        </w:rPr>
        <w:t>31 最终质控：重点核对HIV确证依检测流程，皮损病原病理单独证据，CD4等真实时间及HIV感染状态、免疫程度与皮肤诊断分别管理；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参考指南及版本：本组适用依据为R20、R21、R22、R30、R34，正式名称、机构、年份、适用范围、核验日期及核验限制见本文件参考章节。未核原表或说明书不补具体推荐。</w:t>
      </w:r>
    </w:p>
    <w:p>
      <w:bookmarkStart w:id="294" w:name="b294"/>
      <w:pPr>
        <w:pStyle w:val="Heading2"/>
      </w:pPr>
      <w:r>
        <w:t>07 生殖器皮炎湿疹及慢性炎症</w:t>
      </w:r>
      <w:bookmarkEnd w:id="294"/>
    </w:p>
    <w:p>
      <w:pPr>
        <w:spacing w:after="100"/>
      </w:pPr>
      <w:r>
        <w:rPr>
          <w:rFonts w:ascii="Arial" w:hAnsi="Arial" w:eastAsia="宋体"/>
          <w:b w:val="0"/>
          <w:color w:val="000000"/>
          <w:sz w:val="21"/>
        </w:rPr>
        <w:t>01 疾病定义：敏感部位可发生刺激过敏和其他非感染性炎症。该定义是专业知识，不能代替本例诊断。</w:t>
      </w:r>
    </w:p>
    <w:p>
      <w:pPr>
        <w:spacing w:after="100"/>
      </w:pPr>
      <w:r>
        <w:rPr>
          <w:rFonts w:ascii="Arial" w:hAnsi="Arial" w:eastAsia="宋体"/>
          <w:b w:val="0"/>
          <w:color w:val="000000"/>
          <w:sz w:val="21"/>
        </w:rPr>
        <w:t>02 病因及发病机制：围绕敏感部位可发生刺激过敏和其他非感染性炎症采集相关线索；患者病因只写已核证据，未证实时保留可能性。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临床表现：症状、全身受累及变化按实际病史与检查；重点核实清洁用品外用药摩擦、症状及必要排尿性功能。</w:t>
      </w:r>
    </w:p>
    <w:p>
      <w:pPr>
        <w:spacing w:after="100"/>
      </w:pPr>
      <w:r>
        <w:rPr>
          <w:rFonts w:ascii="Arial" w:hAnsi="Arial" w:eastAsia="宋体"/>
          <w:b w:val="0"/>
          <w:color w:val="000000"/>
          <w:sz w:val="21"/>
        </w:rPr>
        <w:t>04 典型皮损形态：红斑糜烂裂隙或苔藓硬化等形态需实际检查。典型性只用于鉴别，不自动添加到患者查体。</w:t>
      </w:r>
    </w:p>
    <w:p>
      <w:pPr>
        <w:spacing w:after="100"/>
      </w:pPr>
      <w:r>
        <w:rPr>
          <w:rFonts w:ascii="Arial" w:hAnsi="Arial" w:eastAsia="宋体"/>
          <w:b w:val="0"/>
          <w:color w:val="000000"/>
          <w:sz w:val="21"/>
        </w:rPr>
        <w:t>05 皮损部位及分布：逐病灶记录红斑糜烂裂隙或苔藓硬化等形态需实际检查涉及的实际部位侧别、数量排列对称和范围；不补“全身”。</w:t>
      </w:r>
    </w:p>
    <w:p>
      <w:pPr>
        <w:spacing w:after="100"/>
      </w:pPr>
      <w:r>
        <w:rPr>
          <w:rFonts w:ascii="Arial" w:hAnsi="Arial" w:eastAsia="宋体"/>
          <w:b w:val="0"/>
          <w:color w:val="000000"/>
          <w:sz w:val="21"/>
        </w:rPr>
        <w:t>06 病史采集重点：清洁用品外用药摩擦、症状及必要排尿性功能；保留发病与发现、首次与复发、用药计划与执行的差别。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专科检查：按03实查原发继发皮损、黏膜、毛发甲及必要触诊，围绕病型确定度、黏膜瘢痕狭窄及症状功能记录而不强行检查无关项目。</w:t>
      </w:r>
    </w:p>
    <w:p>
      <w:pPr>
        <w:spacing w:after="100"/>
      </w:pPr>
      <w:r>
        <w:rPr>
          <w:rFonts w:ascii="Arial" w:hAnsi="Arial" w:eastAsia="宋体"/>
          <w:b w:val="0"/>
          <w:color w:val="000000"/>
          <w:sz w:val="21"/>
        </w:rPr>
        <w:t>08 实验室检查：感染检查按指征；顽固糜烂硬化色变可活检，检查同意真实记录；检查项目按问题选择，未做不写正常。</w:t>
      </w:r>
    </w:p>
    <w:p>
      <w:pPr>
        <w:spacing w:after="100"/>
      </w:pPr>
      <w:r>
        <w:rPr>
          <w:rFonts w:ascii="Arial" w:hAnsi="Arial" w:eastAsia="宋体"/>
          <w:b w:val="0"/>
          <w:color w:val="000000"/>
          <w:sz w:val="21"/>
        </w:rPr>
        <w:t>09 皮肤镜或其他辅助检查：围绕感染检查按指征；顽固糜烂硬化色变可活检，检查同意真实记录选择必要辅查；没有特定指征不常规添加皮肤镜，普通照不当镜图。</w:t>
      </w:r>
    </w:p>
    <w:p>
      <w:pPr>
        <w:spacing w:after="100"/>
      </w:pPr>
      <w:r>
        <w:rPr>
          <w:rFonts w:ascii="Arial" w:hAnsi="Arial" w:eastAsia="宋体"/>
          <w:b w:val="0"/>
          <w:color w:val="000000"/>
          <w:sz w:val="21"/>
        </w:rPr>
        <w:t>10 病理及免疫检查：必要活检定位最小化，勿自动添加性病或性接触结论。HE、DIF、IIF及抗体按实际诊断问题选择，非典型或疑难再评取材；无适应证不强制。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诊断标准：采用可核实的适用临床及专科体系，感染检查按指征；顽固糜烂硬化色变可活检，检查同意真实记录；未核全文的评分标准不得凭题录复造。</w:t>
      </w:r>
    </w:p>
    <w:p>
      <w:pPr>
        <w:spacing w:after="100"/>
      </w:pPr>
      <w:r>
        <w:rPr>
          <w:rFonts w:ascii="Arial" w:hAnsi="Arial" w:eastAsia="宋体"/>
          <w:b w:val="0"/>
          <w:color w:val="000000"/>
          <w:sz w:val="21"/>
        </w:rPr>
        <w:t>12 诊断依据：逐条将实际红斑糜烂裂隙或苔藓硬化等形态需实际检查与感染检查按指征；顽固糜烂硬化色变可活检，检查同意真实记录对应；写本例支持、反对及尚缺证据，保持疑似/初诊/确诊确定度。</w:t>
      </w:r>
    </w:p>
    <w:p>
      <w:pPr>
        <w:spacing w:after="100"/>
      </w:pPr>
      <w:r>
        <w:rPr>
          <w:rFonts w:ascii="Arial" w:hAnsi="Arial" w:eastAsia="宋体"/>
          <w:b w:val="0"/>
          <w:color w:val="000000"/>
          <w:sz w:val="21"/>
        </w:rPr>
        <w:t>13 鉴别诊断：念珠菌疱疹梅毒、硬化性苔藓、扁平苔藓及上皮内肿瘤。每项基于本例支持、反对和下一步验证，不机械写全部排除。</w:t>
      </w:r>
    </w:p>
    <w:p>
      <w:pPr>
        <w:spacing w:after="100"/>
      </w:pPr>
      <w:r>
        <w:rPr>
          <w:rFonts w:ascii="Arial" w:hAnsi="Arial" w:eastAsia="宋体"/>
          <w:b w:val="0"/>
          <w:color w:val="000000"/>
          <w:sz w:val="21"/>
        </w:rPr>
        <w:t>14 分型分期及严重程度：病型确定度、黏膜瘢痕狭窄及症状功能。评分需体系版本、分项、日期和评估者，缺变量不自动算。</w:t>
      </w:r>
    </w:p>
    <w:p>
      <w:pPr>
        <w:spacing w:after="100"/>
      </w:pPr>
      <w:r>
        <w:rPr>
          <w:rFonts w:ascii="Arial" w:hAnsi="Arial" w:eastAsia="宋体"/>
          <w:b w:val="0"/>
          <w:color w:val="000000"/>
          <w:sz w:val="21"/>
        </w:rPr>
        <w:t>15 危急病情识别：溃疡不愈、硬结、出血或狭窄需妇科泌尿及病理协作。危险状态联合06，不等待文书齐全才处置。</w:t>
      </w:r>
    </w:p>
    <w:p>
      <w:pPr>
        <w:spacing w:after="100"/>
      </w:pPr>
      <w:r>
        <w:rPr>
          <w:rFonts w:ascii="Arial" w:hAnsi="Arial" w:eastAsia="宋体"/>
          <w:b w:val="0"/>
          <w:color w:val="000000"/>
          <w:sz w:val="21"/>
        </w:rPr>
        <w:t>16 外用治疗：温和护理和部位适宜抗炎，强度和周期由具体病种决定。该项为决策知识，患者已用与否及用法必须真实。</w:t>
      </w:r>
    </w:p>
    <w:p>
      <w:pPr>
        <w:spacing w:after="100"/>
      </w:pPr>
      <w:r>
        <w:rPr>
          <w:rFonts w:ascii="Arial" w:hAnsi="Arial" w:eastAsia="宋体"/>
          <w:b w:val="0"/>
          <w:color w:val="000000"/>
          <w:sz w:val="21"/>
        </w:rPr>
        <w:t>17 系统治疗：无病原证据不自动抗菌抗真菌；系统方案按明确病因。不得自动填写剂量频次疗程或疗效，联合07核药物状态。</w:t>
      </w:r>
    </w:p>
    <w:p>
      <w:pPr>
        <w:spacing w:after="100"/>
      </w:pPr>
      <w:r>
        <w:rPr>
          <w:rFonts w:ascii="Arial" w:hAnsi="Arial" w:eastAsia="宋体"/>
          <w:b w:val="0"/>
          <w:color w:val="000000"/>
          <w:sz w:val="21"/>
        </w:rPr>
        <w:t>18 皮肤治疗操作：必要活检定位最小化，勿自动添加性病或性接触结论；操作前后按05，拟实施不得写已实施。</w:t>
      </w:r>
    </w:p>
    <w:p>
      <w:pPr>
        <w:spacing w:after="100"/>
      </w:pPr>
      <w:r>
        <w:rPr>
          <w:rFonts w:ascii="Arial" w:hAnsi="Arial" w:eastAsia="宋体"/>
          <w:b w:val="0"/>
          <w:color w:val="000000"/>
          <w:sz w:val="21"/>
        </w:rPr>
        <w:t>19 相关并发症：优先识别溃疡不愈、硬结、出血或狭窄需妇科泌尿及病理协作；继发感染、瘢痕及药物反应均要实际证据，风险不等已经发生。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病例特点：【真实病史，重点清洁用品外用药摩擦、症状及必要排尿性功能；当次红斑糜烂裂隙或苔藓硬化等形态需实际检查】</w:t>
        <w:br/>
        <w:t>初步诊断：【生殖器皮炎湿疹及慢性炎症的实际确定度】</w:t>
        <w:br/>
        <w:t>诊断依据：【实际感染检查按指征；顽固糜烂硬化色变可活检，检查同意真实记录】</w:t>
        <w:br/>
        <w:t>鉴别诊断：【念珠菌疱疹梅毒、硬化性苔藓、扁平苔藓及上皮内肿瘤的支持反对缺口】</w:t>
        <w:br/>
        <w:t>诊疗计划：【医师确认的温和护理和部位适宜抗炎，强度和周期由具体病种决定及必要检查监测；计划与执行分开】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红斑糜烂裂隙或苔藓硬化等形态需实际检查的实见部分及黏膜全身】，检查【当时可知结果】。目前考虑【诊断及确定度】，实际治疗【真实执行】，本日重点观察【病型确定度、黏膜瘢痕狭窄及症状功能】，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生殖器皮炎湿疹及慢性炎症当前活动及真实治疗执行、短期反应】，关注【溃疡不愈、硬结、出血或狭窄需妇科泌尿及病理协作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感染检查按指征；顽固糜烂硬化色变可活检，检查同意真实记录与形态对应、念珠菌疱疹梅毒、硬化性苔藓、扁平苔藓及上皮内肿瘤的鉴别及病型确定度、黏膜瘢痕狭窄及症状功能】，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生殖器皮炎湿疹及慢性炎症疑难证据及系统风险】，就【无病原证据不自动抗菌抗真菌；系统方案按明确病因涉及的本例重大决策】提出【真实策略与条件】，长期重点【炎症复发和恶变疑点随访，隐私化照片管理】，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病型确定度、黏膜瘢痕狭窄及症状功能的真实变化及安全检查】，医师决定【实际药物或局部方案】由【原方案】调整为【新方案】，原因【证据】，当前处方及执行【分别状态】，监测【本例溃疡不愈、硬结、出血或狭窄需妇科泌尿及病理协作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必要活检定位最小化，勿自动添加性病或性接触结论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溃疡不愈、硬结、出血或狭窄需妇科泌尿及病理协作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诊疗经过：【感染检查按指征；顽固糜烂硬化色变可活检，检查同意真实记录的实际结果、药物操作及转归】</w:t>
        <w:br/>
        <w:t>出院诊断：【确定度与版本】</w:t>
        <w:br/>
        <w:t>出院情况：【当次皮损黏膜全身实查】</w:t>
        <w:br/>
        <w:t>医嘱和未决事项：【炎症复发和恶变疑点随访，隐私化照片管理中适用的确认方案及责任】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护理：【温和护理和部位适宜抗炎，强度和周期由具体病种决定中已确认部分】</w:t>
        <w:br/>
        <w:t>复诊及监测：【本例实际项目时点责任】</w:t>
        <w:br/>
        <w:t>警示：【溃疡不愈、硬结、出血或狭窄需妇科泌尿及病理协作中需要患者识别的事项】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长期随访：炎症复发和恶变疑点随访，隐私化照片管理。具体项目、复查频率和责任人来自已确认方案，不统一套固定周期。</w:t>
      </w:r>
    </w:p>
    <w:p>
      <w:pPr>
        <w:spacing w:after="100"/>
      </w:pPr>
      <w:r>
        <w:rPr>
          <w:rFonts w:ascii="Arial" w:hAnsi="Arial" w:eastAsia="宋体"/>
          <w:b w:val="0"/>
          <w:color w:val="000000"/>
          <w:sz w:val="21"/>
        </w:rPr>
        <w:t>31 最终质控：重点核对感染检查按指征；顽固糜烂硬化色变可活检，检查同意真实记录及病型确定度、黏膜瘢痕狭窄及症状功能；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参考指南及版本：本组适用依据为R20、R21、R22、R30、R34，正式名称、机构、年份、适用范围、核验日期及核验限制见本文件参考章节。未核原表或说明书不补具体推荐。</w:t>
      </w:r>
    </w:p>
    <w:p>
      <w:bookmarkStart w:id="337" w:name="b337"/>
      <w:pPr>
        <w:pStyle w:val="Heading2"/>
      </w:pPr>
      <w:r>
        <w:t>08 生殖器皮损待查及报告转诊</w:t>
      </w:r>
      <w:bookmarkEnd w:id="337"/>
    </w:p>
    <w:p>
      <w:pPr>
        <w:spacing w:after="100"/>
      </w:pPr>
      <w:r>
        <w:rPr>
          <w:rFonts w:ascii="Arial" w:hAnsi="Arial" w:eastAsia="宋体"/>
          <w:b w:val="0"/>
          <w:color w:val="000000"/>
          <w:sz w:val="21"/>
        </w:rPr>
        <w:t>01 疾病定义：诊断尚未明确时先以中性形态定位记录。该定义是专业知识，不能代替本例诊断。</w:t>
      </w:r>
    </w:p>
    <w:p>
      <w:pPr>
        <w:spacing w:after="100"/>
      </w:pPr>
      <w:r>
        <w:rPr>
          <w:rFonts w:ascii="Arial" w:hAnsi="Arial" w:eastAsia="宋体"/>
          <w:b w:val="0"/>
          <w:color w:val="000000"/>
          <w:sz w:val="21"/>
        </w:rPr>
        <w:t>02 病因及发病机制：围绕诊断尚未明确时先以中性形态定位记录采集相关线索；患者病因只写已核证据，未证实时保留可能性。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临床表现：症状、全身受累及变化按实际病史与检查；重点核实自愿必要病史、既往诊疗与检查授权，监护问题依现行制度。</w:t>
      </w:r>
    </w:p>
    <w:p>
      <w:pPr>
        <w:spacing w:after="100"/>
      </w:pPr>
      <w:r>
        <w:rPr>
          <w:rFonts w:ascii="Arial" w:hAnsi="Arial" w:eastAsia="宋体"/>
          <w:b w:val="0"/>
          <w:color w:val="000000"/>
          <w:sz w:val="21"/>
        </w:rPr>
        <w:t>04 典型皮损形态：只描述必要部位和实见形态，不给未经证实传播标签。典型性只用于鉴别，不自动添加到患者查体。</w:t>
      </w:r>
    </w:p>
    <w:p>
      <w:pPr>
        <w:spacing w:after="100"/>
      </w:pPr>
      <w:r>
        <w:rPr>
          <w:rFonts w:ascii="Arial" w:hAnsi="Arial" w:eastAsia="宋体"/>
          <w:b w:val="0"/>
          <w:color w:val="000000"/>
          <w:sz w:val="21"/>
        </w:rPr>
        <w:t>05 皮损部位及分布：逐病灶记录只描述必要部位和实见形态，不给未经证实传播标签涉及的实际部位侧别、数量排列对称和范围；不补“全身”。</w:t>
      </w:r>
    </w:p>
    <w:p>
      <w:pPr>
        <w:spacing w:after="100"/>
      </w:pPr>
      <w:r>
        <w:rPr>
          <w:rFonts w:ascii="Arial" w:hAnsi="Arial" w:eastAsia="宋体"/>
          <w:b w:val="0"/>
          <w:color w:val="000000"/>
          <w:sz w:val="21"/>
        </w:rPr>
        <w:t>06 病史采集重点：自愿必要病史、既往诊疗与检查授权，监护问题依现行制度；保留发病与发现、首次与复发、用药计划与执行的差别。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专科检查：按03实查原发继发皮损、黏膜、毛发甲及必要触诊，围绕疑似与确诊及报告病例定义分离，未核分期不填记录而不强行检查无关项目。</w:t>
      </w:r>
    </w:p>
    <w:p>
      <w:pPr>
        <w:spacing w:after="100"/>
      </w:pPr>
      <w:r>
        <w:rPr>
          <w:rFonts w:ascii="Arial" w:hAnsi="Arial" w:eastAsia="宋体"/>
          <w:b w:val="0"/>
          <w:color w:val="000000"/>
          <w:sz w:val="21"/>
        </w:rPr>
        <w:t>08 实验室检查：样本类型和检测方法明确，阳性需结合既往治疗及当前症状；检查项目按问题选择，未做不写正常。</w:t>
      </w:r>
    </w:p>
    <w:p>
      <w:pPr>
        <w:spacing w:after="100"/>
      </w:pPr>
      <w:r>
        <w:rPr>
          <w:rFonts w:ascii="Arial" w:hAnsi="Arial" w:eastAsia="宋体"/>
          <w:b w:val="0"/>
          <w:color w:val="000000"/>
          <w:sz w:val="21"/>
        </w:rPr>
        <w:t>09 皮肤镜或其他辅助检查：围绕样本类型和检测方法明确，阳性需结合既往治疗及当前症状选择必要辅查；没有特定指征不常规添加皮肤镜，普通照不当镜图。</w:t>
      </w:r>
    </w:p>
    <w:p>
      <w:pPr>
        <w:spacing w:after="100"/>
      </w:pPr>
      <w:r>
        <w:rPr>
          <w:rFonts w:ascii="Arial" w:hAnsi="Arial" w:eastAsia="宋体"/>
          <w:b w:val="0"/>
          <w:color w:val="000000"/>
          <w:sz w:val="21"/>
        </w:rPr>
        <w:t>10 病理及免疫检查：检查沟通、陪诊及取材均据实，缺失不能写已同意。HE、DIF、IIF及抗体按实际诊断问题选择，非典型或疑难再评取材；无适应证不强制。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诊断标准：采用可核实的适用临床及专科体系，样本类型和检测方法明确，阳性需结合既往治疗及当前症状；未核全文的评分标准不得凭题录复造。</w:t>
      </w:r>
    </w:p>
    <w:p>
      <w:pPr>
        <w:spacing w:after="100"/>
      </w:pPr>
      <w:r>
        <w:rPr>
          <w:rFonts w:ascii="Arial" w:hAnsi="Arial" w:eastAsia="宋体"/>
          <w:b w:val="0"/>
          <w:color w:val="000000"/>
          <w:sz w:val="21"/>
        </w:rPr>
        <w:t>12 诊断依据：逐条将实际只描述必要部位和实见形态，不给未经证实传播标签与样本类型和检测方法明确，阳性需结合既往治疗及当前症状对应；写本例支持、反对及尚缺证据，保持疑似/初诊/确诊确定度。</w:t>
      </w:r>
    </w:p>
    <w:p>
      <w:pPr>
        <w:spacing w:after="100"/>
      </w:pPr>
      <w:r>
        <w:rPr>
          <w:rFonts w:ascii="Arial" w:hAnsi="Arial" w:eastAsia="宋体"/>
          <w:b w:val="0"/>
          <w:color w:val="000000"/>
          <w:sz w:val="21"/>
        </w:rPr>
        <w:t>13 鉴别诊断：感染、炎症、药疹、良恶性肿物分别留证。每项基于本例支持、反对和下一步验证，不机械写全部排除。</w:t>
      </w:r>
    </w:p>
    <w:p>
      <w:pPr>
        <w:spacing w:after="100"/>
      </w:pPr>
      <w:r>
        <w:rPr>
          <w:rFonts w:ascii="Arial" w:hAnsi="Arial" w:eastAsia="宋体"/>
          <w:b w:val="0"/>
          <w:color w:val="000000"/>
          <w:sz w:val="21"/>
        </w:rPr>
        <w:t>14 分型分期及严重程度：疑似与确诊及报告病例定义分离，未核分期不填。评分需体系版本、分项、日期和评估者，缺变量不自动算。</w:t>
      </w:r>
    </w:p>
    <w:p>
      <w:pPr>
        <w:spacing w:after="100"/>
      </w:pPr>
      <w:r>
        <w:rPr>
          <w:rFonts w:ascii="Arial" w:hAnsi="Arial" w:eastAsia="宋体"/>
          <w:b w:val="0"/>
          <w:color w:val="000000"/>
          <w:sz w:val="21"/>
        </w:rPr>
        <w:t>15 危急病情识别：疼痛溃疡急进、发热、妊娠及疑严重疾病及时转诊。危险状态联合06，不等待文书齐全才处置。</w:t>
      </w:r>
    </w:p>
    <w:p>
      <w:pPr>
        <w:spacing w:after="100"/>
      </w:pPr>
      <w:r>
        <w:rPr>
          <w:rFonts w:ascii="Arial" w:hAnsi="Arial" w:eastAsia="宋体"/>
          <w:b w:val="0"/>
          <w:color w:val="000000"/>
          <w:sz w:val="21"/>
        </w:rPr>
        <w:t>16 外用治疗：诊断未明避免自行破坏性药物。该项为决策知识，患者已用与否及用法必须真实。</w:t>
      </w:r>
    </w:p>
    <w:p>
      <w:pPr>
        <w:spacing w:after="100"/>
      </w:pPr>
      <w:r>
        <w:rPr>
          <w:rFonts w:ascii="Arial" w:hAnsi="Arial" w:eastAsia="宋体"/>
          <w:b w:val="0"/>
          <w:color w:val="000000"/>
          <w:sz w:val="21"/>
        </w:rPr>
        <w:t>17 系统治疗：拟检查和治疗必须标状态，不擅自群发或通知伴侣。不得自动填写剂量频次疗程或疗效，联合07核药物状态。</w:t>
      </w:r>
    </w:p>
    <w:p>
      <w:pPr>
        <w:spacing w:after="100"/>
      </w:pPr>
      <w:r>
        <w:rPr>
          <w:rFonts w:ascii="Arial" w:hAnsi="Arial" w:eastAsia="宋体"/>
          <w:b w:val="0"/>
          <w:color w:val="000000"/>
          <w:sz w:val="21"/>
        </w:rPr>
        <w:t>18 皮肤治疗操作：检查沟通、陪诊及取材均据实，缺失不能写已同意；操作前后按05，拟实施不得写已实施。</w:t>
      </w:r>
    </w:p>
    <w:p>
      <w:pPr>
        <w:spacing w:after="100"/>
      </w:pPr>
      <w:r>
        <w:rPr>
          <w:rFonts w:ascii="Arial" w:hAnsi="Arial" w:eastAsia="宋体"/>
          <w:b w:val="0"/>
          <w:color w:val="000000"/>
          <w:sz w:val="21"/>
        </w:rPr>
        <w:t>19 相关并发症：优先识别疼痛溃疡急进、发热、妊娠及疑严重疾病及时转诊；继发感染、瘢痕及药物反应均要实际证据，风险不等已经发生。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病例特点：【真实病史，重点自愿必要病史、既往诊疗与检查授权，监护问题依现行制度；当次只描述必要部位和实见形态，不给未经证实传播标签】</w:t>
        <w:br/>
        <w:t>初步诊断：【生殖器皮损待查及报告转诊的实际确定度】</w:t>
        <w:br/>
        <w:t>诊断依据：【实际样本类型和检测方法明确，阳性需结合既往治疗及当前症状】</w:t>
        <w:br/>
        <w:t>鉴别诊断：【感染、炎症、药疹、良恶性肿物分别留证的支持反对缺口】</w:t>
        <w:br/>
        <w:t>诊疗计划：【医师确认的诊断未明避免自行破坏性药物及必要检查监测；计划与执行分开】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只描述必要部位和实见形态，不给未经证实传播标签的实见部分及黏膜全身】，检查【当时可知结果】。目前考虑【诊断及确定度】，实际治疗【真实执行】，本日重点观察【疑似与确诊及报告病例定义分离，未核分期不填】，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生殖器皮损待查及报告转诊当前活动及真实治疗执行、短期反应】，关注【疼痛溃疡急进、发热、妊娠及疑严重疾病及时转诊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样本类型和检测方法明确，阳性需结合既往治疗及当前症状与形态对应、感染、炎症、药疹、良恶性肿物分别留证的鉴别及疑似与确诊及报告病例定义分离，未核分期不填】，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生殖器皮损待查及报告转诊疑难证据及系统风险】，就【拟检查和治疗必须标状态，不擅自群发或通知伴侣涉及的本例重大决策】提出【真实策略与条件】，长期重点【依法依院内流程由授权人员核报告；AI不自动对外发送或传播敏感资料】，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疑似与确诊及报告病例定义分离，未核分期不填的真实变化及安全检查】，医师决定【实际药物或局部方案】由【原方案】调整为【新方案】，原因【证据】，当前处方及执行【分别状态】，监测【本例疼痛溃疡急进、发热、妊娠及疑严重疾病及时转诊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检查沟通、陪诊及取材均据实，缺失不能写已同意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疼痛溃疡急进、发热、妊娠及疑严重疾病及时转诊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诊疗经过：【样本类型和检测方法明确，阳性需结合既往治疗及当前症状的实际结果、药物操作及转归】</w:t>
        <w:br/>
        <w:t>出院诊断：【确定度与版本】</w:t>
        <w:br/>
        <w:t>出院情况：【当次皮损黏膜全身实查】</w:t>
        <w:br/>
        <w:t>医嘱和未决事项：【依法依院内流程由授权人员核报告；AI不自动对外发送或传播敏感资料中适用的确认方案及责任】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护理：【诊断未明避免自行破坏性药物中已确认部分】</w:t>
        <w:br/>
        <w:t>复诊及监测：【本例实际项目时点责任】</w:t>
        <w:br/>
        <w:t>警示：【疼痛溃疡急进、发热、妊娠及疑严重疾病及时转诊中需要患者识别的事项】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长期随访：依法依院内流程由授权人员核报告；AI不自动对外发送或传播敏感资料。具体项目、复查频率和责任人来自已确认方案，不统一套固定周期。</w:t>
      </w:r>
    </w:p>
    <w:p>
      <w:pPr>
        <w:spacing w:after="100"/>
      </w:pPr>
      <w:r>
        <w:rPr>
          <w:rFonts w:ascii="Arial" w:hAnsi="Arial" w:eastAsia="宋体"/>
          <w:b w:val="0"/>
          <w:color w:val="000000"/>
          <w:sz w:val="21"/>
        </w:rPr>
        <w:t>31 最终质控：重点核对样本类型和检测方法明确，阳性需结合既往治疗及当前症状及疑似与确诊及报告病例定义分离，未核分期不填；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参考指南及版本：本组适用依据为R20、R21、R22、R30、R34，正式名称、机构、年份、适用范围、核验日期及核验限制见本文件参考章节。未核原表或说明书不补具体推荐。</w:t>
      </w:r>
    </w:p>
    <w:p>
      <w:bookmarkStart w:id="380" w:name="b380"/>
      <w:pPr>
        <w:pStyle w:val="Heading1"/>
      </w:pPr>
      <w:r>
        <w:t>真实性限制 常见错误与质控</w:t>
      </w:r>
      <w:bookmarkEnd w:id="380"/>
    </w:p>
    <w:p>
      <w:pPr>
        <w:spacing w:after="100"/>
      </w:pPr>
      <w:r>
        <w:rPr>
          <w:rFonts w:ascii="Arial" w:hAnsi="Arial" w:eastAsia="宋体"/>
          <w:b w:val="0"/>
          <w:color w:val="000000"/>
          <w:sz w:val="22"/>
        </w:rPr>
        <w:t>逐项核对患者和本次住院、病灶部位侧别、资料可知时间、证据确定度、检查标本对应、药物和操作执行、当日复评及文书格式。关键冲突阻断净稿；非关键缺项可省略，不填写“未见异常”掩盖缺失。原文中的可能、考虑、倾向及不能排除保留。</w:t>
      </w:r>
    </w:p>
    <w:p>
      <w:pPr>
        <w:spacing w:after="100"/>
      </w:pPr>
      <w:r>
        <w:rPr>
          <w:rFonts w:ascii="Arial" w:hAnsi="Arial" w:eastAsia="宋体"/>
          <w:b w:val="0"/>
          <w:color w:val="000000"/>
          <w:sz w:val="22"/>
        </w:rPr>
        <w:t>常见错误：旧照片充当今日查体；皮肤镜怀疑当病理确诊；阳性培养当所有皮损病因；抗体阳性当全部确诊；拟治疗当已完成；术后默认创面好；未实际查房即代写上级意见。上述均触发修订来源和重新审查。</w:t>
      </w:r>
    </w:p>
    <w:p>
      <w:bookmarkStart w:id="383" w:name="b383"/>
      <w:pPr>
        <w:pStyle w:val="Heading1"/>
      </w:pPr>
      <w:r>
        <w:t>模块协同与版本维护</w:t>
      </w:r>
      <w:bookmarkEnd w:id="383"/>
    </w:p>
    <w:p>
      <w:pPr>
        <w:spacing w:after="100"/>
      </w:pPr>
      <w:r>
        <w:rPr>
          <w:rFonts w:ascii="Arial" w:hAnsi="Arial" w:eastAsia="宋体"/>
          <w:b w:val="0"/>
          <w:color w:val="000000"/>
          <w:sz w:val="22"/>
        </w:rPr>
        <w:t>统一顺序为00识别→01约束→11核对状态→02至09按任务选用→101至108按疾病选用→10终审→合格后输出。多病共存分别论证；联合模块不得重复生成相互矛盾医嘱。</w:t>
      </w:r>
    </w:p>
    <w:p>
      <w:pPr>
        <w:spacing w:after="100"/>
      </w:pPr>
      <w:r>
        <w:rPr>
          <w:rFonts w:ascii="Arial" w:hAnsi="Arial" w:eastAsia="宋体"/>
          <w:b w:val="0"/>
          <w:color w:val="000000"/>
          <w:sz w:val="22"/>
        </w:rPr>
        <w:t>版本V1.0；编制及检索截止2026年10月30日。维护人由医院指定皮肤科、病理检验、药学和病案质控负责人；至少季度复查题录及当前说明书，重要安全信息或正式更新时立即修订。修订保留版本、变更条目、依据和受影响场景回测，不静默覆盖已签病历。</w:t>
      </w:r>
    </w:p>
    <w:p>
      <w:bookmarkStart w:id="386" w:name="b386"/>
      <w:pPr>
        <w:pStyle w:val="Heading1"/>
      </w:pPr>
      <w:r>
        <w:t>参考指南及核验范围</w:t>
      </w:r>
      <w:bookmarkEnd w:id="386"/>
    </w:p>
    <w:p>
      <w:pPr>
        <w:spacing w:after="100"/>
      </w:pPr>
      <w:r>
        <w:rPr>
          <w:rFonts w:ascii="Arial" w:hAnsi="Arial" w:eastAsia="宋体"/>
          <w:b w:val="0"/>
          <w:color w:val="000000"/>
          <w:sz w:val="22"/>
        </w:rPr>
        <w:t>以下仅记录本次实际可获得范围。正式发表、注册、题录摘要、可读全文、未核原文分开；未完整核验的条款、推荐等级、药物剂量、批准年龄及院内SOP均不补造。引用不表示本库已获临床认证；检索未见更新不等于绝对最新。</w:t>
      </w:r>
    </w:p>
    <w:p>
      <w:pPr>
        <w:spacing w:after="100"/>
      </w:pPr>
      <w:r>
        <w:rPr>
          <w:rFonts w:ascii="Arial" w:hAnsi="Arial" w:eastAsia="宋体"/>
          <w:b w:val="0"/>
          <w:color w:val="000000"/>
          <w:sz w:val="22"/>
        </w:rPr>
        <w:t>R20 梅毒诊断 WS 273—2018。发布机构：国家卫生健康委员会；年份或版本：2018；适用：梅毒临床实验室及分期；核验日期：2026-10-30。核验结果：官方标准正文及施行信息可见；适用状态由医疗机构上线前再次核对。</w:t>
      </w:r>
    </w:p>
    <w:p>
      <w:pPr>
        <w:spacing w:after="100"/>
      </w:pPr>
      <w:r>
        <w:rPr>
          <w:rFonts w:ascii="Arial" w:hAnsi="Arial" w:eastAsia="宋体"/>
          <w:b w:val="0"/>
          <w:color w:val="000000"/>
          <w:sz w:val="22"/>
        </w:rPr>
        <w:t>https:/​/​www.nhc.gov.cn/​wjw/​s9491/​201803/​5103a5425f9e47d29b91de38434b7f74.shtml</w:t>
      </w:r>
    </w:p>
    <w:p>
      <w:pPr>
        <w:spacing w:after="100"/>
      </w:pPr>
      <w:r>
        <w:rPr>
          <w:rFonts w:ascii="Arial" w:hAnsi="Arial" w:eastAsia="宋体"/>
          <w:b w:val="0"/>
          <w:color w:val="000000"/>
          <w:sz w:val="22"/>
        </w:rPr>
        <w:t>R21 淋病诊断 WS 268—2019。发布机构：国家卫生健康委员会；年份或版本：2019；适用：淋病诊断；核验日期：2026-10-30。核验结果：官方卫生健康标准目录可见；未完整核读全文。</w:t>
      </w:r>
    </w:p>
    <w:p>
      <w:pPr>
        <w:spacing w:after="100"/>
      </w:pPr>
      <w:r>
        <w:rPr>
          <w:rFonts w:ascii="Arial" w:hAnsi="Arial" w:eastAsia="宋体"/>
          <w:b w:val="0"/>
          <w:color w:val="000000"/>
          <w:sz w:val="22"/>
        </w:rPr>
        <w:t>https:/​/​www.nhc.gov.cn/​wjw/​s9491/​wsbz.shtml</w:t>
      </w:r>
    </w:p>
    <w:p>
      <w:pPr>
        <w:spacing w:after="100"/>
      </w:pPr>
      <w:r>
        <w:rPr>
          <w:rFonts w:ascii="Arial" w:hAnsi="Arial" w:eastAsia="宋体"/>
          <w:b w:val="0"/>
          <w:color w:val="000000"/>
          <w:sz w:val="22"/>
        </w:rPr>
        <w:t>R22 梅毒、淋病和生殖道沙眼衣原体感染诊疗指南（2020年）。发布机构：中国疾病预防控制中心性病控制中心等，完整署名待原刊复核；年份或版本：2020；适用：常见性传播感染诊疗；核验日期：2026-10-30。核验结果：2025官方文件继续引用；本文未获取可完整核读的原指南全文，不虚构方案与报告时限。</w:t>
      </w:r>
    </w:p>
    <w:p>
      <w:pPr>
        <w:spacing w:after="100"/>
      </w:pPr>
      <w:r>
        <w:rPr>
          <w:rFonts w:ascii="Arial" w:hAnsi="Arial" w:eastAsia="宋体"/>
          <w:b w:val="0"/>
          <w:color w:val="000000"/>
          <w:sz w:val="22"/>
        </w:rPr>
        <w:t>https:/​/​www.nhc.gov.cn/​wjw/​c100378/​202503/​62073c6fc3064f7f9d971f0b1b9c7dd5/​files/​1743410147158_​61714.pdf</w:t>
      </w:r>
    </w:p>
    <w:p>
      <w:pPr>
        <w:spacing w:after="100"/>
      </w:pPr>
      <w:r>
        <w:rPr>
          <w:rFonts w:ascii="Arial" w:hAnsi="Arial" w:eastAsia="宋体"/>
          <w:b w:val="0"/>
          <w:color w:val="000000"/>
          <w:sz w:val="22"/>
        </w:rPr>
        <w:t>R30 皮肤镜 皮肤病理免疫荧光 标本转运及药品说明书核验任务。发布机构：本院病理科检验科药学部与设备管理部门；年份或版本：院内有效版本待接入；适用：皮肤镜、HE/DIF分标本、药品批准范围及设备参数；核验日期：2026-10-30。核验结果：未获得本院SOP及具体药品说明书；作为待核任务，不是已发表指南，禁止据此填参数与介质。</w:t>
      </w:r>
    </w:p>
    <w:p>
      <w:pPr>
        <w:spacing w:after="100"/>
      </w:pPr>
      <w:r>
        <w:rPr>
          <w:rFonts w:ascii="Arial" w:hAnsi="Arial" w:eastAsia="宋体"/>
          <w:b w:val="0"/>
          <w:color w:val="000000"/>
          <w:sz w:val="22"/>
        </w:rPr>
        <w:t>https:/​/​www.nmpa.gov.cn/​</w:t>
      </w:r>
    </w:p>
    <w:p>
      <w:pPr>
        <w:spacing w:after="100"/>
      </w:pPr>
      <w:r>
        <w:rPr>
          <w:rFonts w:ascii="Arial" w:hAnsi="Arial" w:eastAsia="宋体"/>
          <w:b w:val="0"/>
          <w:color w:val="000000"/>
          <w:sz w:val="22"/>
        </w:rPr>
        <w:t>R34 Sexually Transmitted Infections Treatment Guidelines 2021。发布机构：United States Centers for Disease Control and Prevention；年份或版本：2021及官方网站维护页；适用：生殖器HSV HPV等国际补充资料，国内按中国规范；核验日期：2026-10-30。核验结果：CDC官方全文及维护页可见；不代中国药物批准或公卫报告规则。</w:t>
      </w:r>
    </w:p>
    <w:p>
      <w:pPr>
        <w:spacing w:after="100"/>
      </w:pPr>
      <w:r>
        <w:rPr>
          <w:rFonts w:ascii="Arial" w:hAnsi="Arial" w:eastAsia="宋体"/>
          <w:b w:val="0"/>
          <w:color w:val="000000"/>
          <w:sz w:val="22"/>
        </w:rPr>
        <w:t>https:/​/​www.cdc.gov/​std/​treatment-guidelines/​default.htm</w:t>
      </w:r>
    </w:p>
    <w:p>
      <w:bookmarkStart w:id="398" w:name="b398"/>
      <w:pPr>
        <w:pStyle w:val="Heading1"/>
      </w:pPr>
      <w:r>
        <w:t>虚构病例示例</w:t>
      </w:r>
      <w:bookmarkEnd w:id="398"/>
    </w:p>
    <w:p>
      <w:pPr>
        <w:spacing w:after="100"/>
      </w:pPr>
      <w:r>
        <w:rPr>
          <w:rFonts w:ascii="Arial" w:hAnsi="Arial" w:eastAsia="宋体"/>
          <w:b w:val="0"/>
          <w:color w:val="000000"/>
          <w:sz w:val="22"/>
        </w:rPr>
        <w:t>以下病例完全虚构，仅供规则演示，不得导入真实病例。患者TEST108、住院E01，日期2026年10月30日，事实限定如下。</w:t>
      </w:r>
    </w:p>
    <w:p>
      <w:pPr>
        <w:keepNext/>
        <w:spacing w:after="100"/>
      </w:pPr>
      <w:r>
        <w:rPr>
          <w:rFonts w:ascii="Arial" w:hAnsi="Arial" w:eastAsia="宋体"/>
          <w:b w:val="0"/>
          <w:color w:val="000000"/>
          <w:sz w:val="22"/>
        </w:rPr>
        <w:t>2026年10月30日 09:00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TPPA阳性、RPR1:4，既往治疗史及感染时长不明，今日未检查皮损。不能单凭血清学认定新近二期梅毒；需核既往治疗历次滴度和临床分期证据。</w:t>
      </w:r>
    </w:p>
    <w:p>
      <w:pPr>
        <w:spacing w:after="140"/>
      </w:pPr>
      <w:r>
        <w:rPr>
          <w:rFonts w:ascii="Arial" w:hAnsi="Arial" w:eastAsia="宋体"/>
          <w:b w:val="0"/>
          <w:color w:val="000000"/>
          <w:sz w:val="22"/>
        </w:rPr>
        <w:t>```</w:t>
      </w:r>
    </w:p>
    <w:sectPr w:rsidR="00FC693F" w:rsidRPr="0006063C" w:rsidSect="00034616">
      <w:headerReference w:type="default" r:id="rId9"/>
      <w:footerReference w:type="default" r:id="rId10"/>
      <w:pgSz w:w="12240" w:h="15840"/>
      <w:pgMar w:top="1152" w:right="1224" w:bottom="1152" w:left="122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18"/>
      </w:rPr>
      <w:t xml:space="preserve">第 </w:t>
    </w:r>
    <w:r>
      <w:fldChar w:fldCharType="begin"/>
    </w:r>
    <w:r>
      <w:instrText xml:space="preserve"> PAGE </w:instrText>
    </w:r>
    <w:r>
      <w:fldChar w:fldCharType="separate"/>
    </w:r>
    <w:r>
      <w:t>1</w:t>
    </w:r>
    <w:r>
      <w:fldChar w:fldCharType="end"/>
    </w:r>
    <w:r>
      <w:rPr>
        <w:rFonts w:ascii="Arial" w:hAnsi="Arial" w:eastAsia="宋体"/>
        <w:b w:val="0"/>
        <w:color w:val="000000"/>
        <w:sz w:val="18"/>
      </w:rPr>
      <w:t xml:space="preserve"> 页  共 </w:t>
    </w:r>
    <w:r>
      <w:fldChar w:fldCharType="begin"/>
    </w:r>
    <w:r>
      <w:instrText xml:space="preserve"> NUMPAGES </w:instrText>
    </w:r>
    <w:r>
      <w:fldChar w:fldCharType="separate"/>
    </w:r>
    <w:r>
      <w:t>1</w:t>
    </w:r>
    <w:r>
      <w:fldChar w:fldCharType="end"/>
    </w:r>
    <w:r>
      <w:rPr>
        <w:rFonts w:ascii="Arial" w:hAnsi="Arial" w:eastAsia="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b w:val="0"/>
        <w:color w:val="000000"/>
        <w:sz w:val="18"/>
      </w:rPr>
      <w:t>皮肤科AI病历书写系统 V1.0  |  模块 108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pPr>
    <w:rPr>
      <w:rFonts w:ascii="Arial" w:hAnsi="Arial"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rial" w:hAnsi="Arial"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宋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108_性传播感染及生殖器皮肤黏膜疾病模板库</dc:title>
  <dc:subject>皮肤科医学文书规则与模板</dc:subject>
  <dc:creator>皮肤科AI病历规则库</dc:creator>
  <cp:keywords>V1.0 2026-10-30 医师审核</cp:keywords>
  <dc:description>generated by python-docx</dc:description>
  <cp:lastModifiedBy/>
  <cp:revision>1</cp:revision>
  <dcterms:created xsi:type="dcterms:W3CDTF">2013-12-23T23:15:00Z</dcterms:created>
  <dcterms:modified xsi:type="dcterms:W3CDTF">2013-12-23T23:15:00Z</dcterms:modified>
  <cp:category/>
</cp:coreProperties>
</file>