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/>
      </w:pPr>
      <w:r>
        <w:rPr>
          <w:rFonts w:ascii="Arial" w:hAnsi="Arial" w:eastAsia="宋体"/>
          <w:b/>
          <w:color w:val="000000"/>
          <w:sz w:val="44"/>
        </w:rPr>
        <w:t>10 皮肤科病历最终质控诊断修正及时间轴一致性审查库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皮肤科AI病历书写系统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文件编号 10    所属层级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用途 真实病例文书辅助拟稿 连续记录及医师质控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责任边界 本规则库不替代实际诊断 治疗 操作 知情同意及医师签名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本模块涵盖病历最终质控诊断修正及时间轴一致性审查库。使用时先核患者及本次住院、真实证据与执行状态，再按任务读取相关章节。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指南核验范围和测试边界均在正文列明；模板变量和虚构病例不得复制进真实病历。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b0">
        <w:r>
          <w:rPr>
            <w:sz w:val="20"/>
          </w:rPr>
          <w:t>模块使用说明</w:t>
        </w:r>
      </w:hyperlink>
    </w:p>
    <w:p>
      <w:pPr>
        <w:spacing w:after="40"/>
        <w:ind w:left="0"/>
      </w:pPr>
      <w:hyperlink w:anchor="b4">
        <w:r>
          <w:rPr>
            <w:sz w:val="20"/>
          </w:rPr>
          <w:t>正式医学文书输出规范</w:t>
        </w:r>
      </w:hyperlink>
    </w:p>
    <w:p>
      <w:pPr>
        <w:spacing w:after="40"/>
        <w:ind w:left="0"/>
      </w:pPr>
      <w:hyperlink w:anchor="b7">
        <w:r>
          <w:rPr>
            <w:sz w:val="20"/>
          </w:rPr>
          <w:t>三级问题与放行规则</w:t>
        </w:r>
      </w:hyperlink>
    </w:p>
    <w:p>
      <w:pPr>
        <w:spacing w:after="40"/>
        <w:ind w:left="0"/>
      </w:pPr>
      <w:hyperlink w:anchor="b9">
        <w:r>
          <w:rPr>
            <w:sz w:val="20"/>
          </w:rPr>
          <w:t>46项终审清单</w:t>
        </w:r>
      </w:hyperlink>
    </w:p>
    <w:p>
      <w:pPr>
        <w:spacing w:after="40"/>
        <w:ind w:left="0"/>
      </w:pPr>
      <w:hyperlink w:anchor="b56">
        <w:r>
          <w:rPr>
            <w:sz w:val="20"/>
          </w:rPr>
          <w:t>诊断修正与证据不一致闭环</w:t>
        </w:r>
      </w:hyperlink>
    </w:p>
    <w:p>
      <w:pPr>
        <w:spacing w:after="40"/>
        <w:ind w:left="0"/>
      </w:pPr>
      <w:hyperlink w:anchor="b58">
        <w:r>
          <w:rPr>
            <w:sz w:val="20"/>
          </w:rPr>
          <w:t>输出前审查执行</w:t>
        </w:r>
      </w:hyperlink>
    </w:p>
    <w:p>
      <w:pPr>
        <w:spacing w:after="40"/>
        <w:ind w:left="0"/>
      </w:pPr>
      <w:hyperlink w:anchor="b60">
        <w:r>
          <w:rPr>
            <w:sz w:val="20"/>
          </w:rPr>
          <w:t>40个虚构临床场景验证及边界</w:t>
        </w:r>
      </w:hyperlink>
    </w:p>
    <w:p>
      <w:pPr>
        <w:spacing w:after="40"/>
        <w:ind w:left="230"/>
      </w:pPr>
      <w:hyperlink w:anchor="b63">
        <w:r>
          <w:rPr>
            <w:sz w:val="20"/>
          </w:rPr>
          <w:t>T01 急性湿疹首次病程</w:t>
        </w:r>
      </w:hyperlink>
    </w:p>
    <w:p>
      <w:pPr>
        <w:spacing w:after="40"/>
        <w:ind w:left="230"/>
      </w:pPr>
      <w:hyperlink w:anchor="b69">
        <w:r>
          <w:rPr>
            <w:sz w:val="20"/>
          </w:rPr>
          <w:t>T02 特应性皮炎主任医师查房</w:t>
        </w:r>
      </w:hyperlink>
    </w:p>
    <w:p>
      <w:pPr>
        <w:spacing w:after="40"/>
        <w:ind w:left="230"/>
      </w:pPr>
      <w:hyperlink w:anchor="b75">
        <w:r>
          <w:rPr>
            <w:sz w:val="20"/>
          </w:rPr>
          <w:t>T03 慢性手部湿疹治疗调整</w:t>
        </w:r>
      </w:hyperlink>
    </w:p>
    <w:p>
      <w:pPr>
        <w:spacing w:after="40"/>
        <w:ind w:left="230"/>
      </w:pPr>
      <w:hyperlink w:anchor="b81">
        <w:r>
          <w:rPr>
            <w:sz w:val="20"/>
          </w:rPr>
          <w:t>T04 慢性荨麻疹病程</w:t>
        </w:r>
      </w:hyperlink>
    </w:p>
    <w:p>
      <w:pPr>
        <w:spacing w:after="40"/>
        <w:ind w:left="230"/>
      </w:pPr>
      <w:hyperlink w:anchor="b87">
        <w:r>
          <w:rPr>
            <w:sz w:val="20"/>
          </w:rPr>
          <w:t>T05 寻常型银屑病首次病程</w:t>
        </w:r>
      </w:hyperlink>
    </w:p>
    <w:p>
      <w:pPr>
        <w:spacing w:after="40"/>
        <w:ind w:left="230"/>
      </w:pPr>
      <w:hyperlink w:anchor="b93">
        <w:r>
          <w:rPr>
            <w:sz w:val="20"/>
          </w:rPr>
          <w:t>T06 PASI资料不足评分限制</w:t>
        </w:r>
      </w:hyperlink>
    </w:p>
    <w:p>
      <w:pPr>
        <w:spacing w:after="40"/>
        <w:ind w:left="230"/>
      </w:pPr>
      <w:hyperlink w:anchor="b99">
        <w:r>
          <w:rPr>
            <w:sz w:val="20"/>
          </w:rPr>
          <w:t>T07 生物制剂治疗状态管理</w:t>
        </w:r>
      </w:hyperlink>
    </w:p>
    <w:p>
      <w:pPr>
        <w:spacing w:after="40"/>
        <w:ind w:left="230"/>
      </w:pPr>
      <w:hyperlink w:anchor="b105">
        <w:r>
          <w:rPr>
            <w:sz w:val="20"/>
          </w:rPr>
          <w:t>T08 泛发性脓疱型银屑病危重</w:t>
        </w:r>
      </w:hyperlink>
    </w:p>
    <w:p>
      <w:pPr>
        <w:spacing w:after="40"/>
        <w:ind w:left="230"/>
      </w:pPr>
      <w:hyperlink w:anchor="b111">
        <w:r>
          <w:rPr>
            <w:sz w:val="20"/>
          </w:rPr>
          <w:t>T09 真菌感染首次病程</w:t>
        </w:r>
      </w:hyperlink>
    </w:p>
    <w:p>
      <w:pPr>
        <w:spacing w:after="40"/>
        <w:ind w:left="230"/>
      </w:pPr>
      <w:hyperlink w:anchor="b117">
        <w:r>
          <w:rPr>
            <w:sz w:val="20"/>
          </w:rPr>
          <w:t>T10 镜检培养分析</w:t>
        </w:r>
      </w:hyperlink>
    </w:p>
    <w:p>
      <w:pPr>
        <w:spacing w:after="40"/>
        <w:ind w:left="230"/>
      </w:pPr>
      <w:hyperlink w:anchor="b123">
        <w:r>
          <w:rPr>
            <w:sz w:val="20"/>
          </w:rPr>
          <w:t>T11 蜂窝织炎病程</w:t>
        </w:r>
      </w:hyperlink>
    </w:p>
    <w:p>
      <w:pPr>
        <w:spacing w:after="40"/>
        <w:ind w:left="230"/>
      </w:pPr>
      <w:hyperlink w:anchor="b129">
        <w:r>
          <w:rPr>
            <w:sz w:val="20"/>
          </w:rPr>
          <w:t>T12 带状疱疹主治医师查房</w:t>
        </w:r>
      </w:hyperlink>
    </w:p>
    <w:p>
      <w:pPr>
        <w:spacing w:after="40"/>
        <w:ind w:left="230"/>
      </w:pPr>
      <w:hyperlink w:anchor="b135">
        <w:r>
          <w:rPr>
            <w:sz w:val="20"/>
          </w:rPr>
          <w:t>T13 天疱疮首次病程</w:t>
        </w:r>
      </w:hyperlink>
    </w:p>
    <w:p>
      <w:pPr>
        <w:spacing w:after="40"/>
        <w:ind w:left="230"/>
      </w:pPr>
      <w:hyperlink w:anchor="b141">
        <w:r>
          <w:rPr>
            <w:sz w:val="20"/>
          </w:rPr>
          <w:t>T14 类天疱疮病理分析</w:t>
        </w:r>
      </w:hyperlink>
    </w:p>
    <w:p>
      <w:pPr>
        <w:spacing w:after="40"/>
        <w:ind w:left="230"/>
      </w:pPr>
      <w:hyperlink w:anchor="b147">
        <w:r>
          <w:rPr>
            <w:sz w:val="20"/>
          </w:rPr>
          <w:t>T15 DIF后诊断修正</w:t>
        </w:r>
      </w:hyperlink>
    </w:p>
    <w:p>
      <w:pPr>
        <w:spacing w:after="40"/>
        <w:ind w:left="230"/>
      </w:pPr>
      <w:hyperlink w:anchor="b153">
        <w:r>
          <w:rPr>
            <w:sz w:val="20"/>
          </w:rPr>
          <w:t>T16 血管炎首次病程</w:t>
        </w:r>
      </w:hyperlink>
    </w:p>
    <w:p>
      <w:pPr>
        <w:spacing w:after="40"/>
        <w:ind w:left="230"/>
      </w:pPr>
      <w:hyperlink w:anchor="b159">
        <w:r>
          <w:rPr>
            <w:sz w:val="20"/>
          </w:rPr>
          <w:t>T17 红皮病主任医师查房</w:t>
        </w:r>
      </w:hyperlink>
    </w:p>
    <w:p>
      <w:pPr>
        <w:spacing w:after="40"/>
        <w:ind w:left="230"/>
      </w:pPr>
      <w:hyperlink w:anchor="b165">
        <w:r>
          <w:rPr>
            <w:sz w:val="20"/>
          </w:rPr>
          <w:t>T18 SJS TEN待排危重病程</w:t>
        </w:r>
      </w:hyperlink>
    </w:p>
    <w:p>
      <w:pPr>
        <w:spacing w:after="40"/>
        <w:ind w:left="230"/>
      </w:pPr>
      <w:hyperlink w:anchor="b171">
        <w:r>
          <w:rPr>
            <w:sz w:val="20"/>
          </w:rPr>
          <w:t>T19 DRESS药物时间轴</w:t>
        </w:r>
      </w:hyperlink>
    </w:p>
    <w:p>
      <w:pPr>
        <w:spacing w:after="40"/>
        <w:ind w:left="230"/>
      </w:pPr>
      <w:hyperlink w:anchor="b177">
        <w:r>
          <w:rPr>
            <w:sz w:val="20"/>
          </w:rPr>
          <w:t>T20 严重药疹多科会诊</w:t>
        </w:r>
      </w:hyperlink>
    </w:p>
    <w:p>
      <w:pPr>
        <w:spacing w:after="40"/>
        <w:ind w:left="230"/>
      </w:pPr>
      <w:hyperlink w:anchor="b183">
        <w:r>
          <w:rPr>
            <w:sz w:val="20"/>
          </w:rPr>
          <w:t>T21 痤疮专科评估</w:t>
        </w:r>
      </w:hyperlink>
    </w:p>
    <w:p>
      <w:pPr>
        <w:spacing w:after="40"/>
        <w:ind w:left="230"/>
      </w:pPr>
      <w:hyperlink w:anchor="b189">
        <w:r>
          <w:rPr>
            <w:sz w:val="20"/>
          </w:rPr>
          <w:t>T22 玫瑰痤疮首次病程</w:t>
        </w:r>
      </w:hyperlink>
    </w:p>
    <w:p>
      <w:pPr>
        <w:spacing w:after="40"/>
        <w:ind w:left="230"/>
      </w:pPr>
      <w:hyperlink w:anchor="b195">
        <w:r>
          <w:rPr>
            <w:sz w:val="20"/>
          </w:rPr>
          <w:t>T23 斑秃毛发镜分析</w:t>
        </w:r>
      </w:hyperlink>
    </w:p>
    <w:p>
      <w:pPr>
        <w:spacing w:after="40"/>
        <w:ind w:left="230"/>
      </w:pPr>
      <w:hyperlink w:anchor="b201">
        <w:r>
          <w:rPr>
            <w:sz w:val="20"/>
          </w:rPr>
          <w:t>T24 甲病专科检查</w:t>
        </w:r>
      </w:hyperlink>
    </w:p>
    <w:p>
      <w:pPr>
        <w:spacing w:after="40"/>
        <w:ind w:left="230"/>
      </w:pPr>
      <w:hyperlink w:anchor="b207">
        <w:r>
          <w:rPr>
            <w:sz w:val="20"/>
          </w:rPr>
          <w:t>T25 色素痣活检前</w:t>
        </w:r>
      </w:hyperlink>
    </w:p>
    <w:p>
      <w:pPr>
        <w:spacing w:after="40"/>
        <w:ind w:left="230"/>
      </w:pPr>
      <w:hyperlink w:anchor="b213">
        <w:r>
          <w:rPr>
            <w:sz w:val="20"/>
          </w:rPr>
          <w:t>T26 肿瘤活检后记录</w:t>
        </w:r>
      </w:hyperlink>
    </w:p>
    <w:p>
      <w:pPr>
        <w:spacing w:after="40"/>
        <w:ind w:left="230"/>
      </w:pPr>
      <w:hyperlink w:anchor="b219">
        <w:r>
          <w:rPr>
            <w:sz w:val="20"/>
          </w:rPr>
          <w:t>T27 BCC切除术后</w:t>
        </w:r>
      </w:hyperlink>
    </w:p>
    <w:p>
      <w:pPr>
        <w:spacing w:after="40"/>
        <w:ind w:left="230"/>
      </w:pPr>
      <w:hyperlink w:anchor="b225">
        <w:r>
          <w:rPr>
            <w:sz w:val="20"/>
          </w:rPr>
          <w:t>T28 鳞癌病理后主任查房</w:t>
        </w:r>
      </w:hyperlink>
    </w:p>
    <w:p>
      <w:pPr>
        <w:spacing w:after="40"/>
        <w:ind w:left="230"/>
      </w:pPr>
      <w:hyperlink w:anchor="b231">
        <w:r>
          <w:rPr>
            <w:sz w:val="20"/>
          </w:rPr>
          <w:t>T29 黑色素瘤待查证据控制</w:t>
        </w:r>
      </w:hyperlink>
    </w:p>
    <w:p>
      <w:pPr>
        <w:spacing w:after="40"/>
        <w:ind w:left="230"/>
      </w:pPr>
      <w:hyperlink w:anchor="b237">
        <w:r>
          <w:rPr>
            <w:sz w:val="20"/>
          </w:rPr>
          <w:t>T30 白癜风治疗分析</w:t>
        </w:r>
      </w:hyperlink>
    </w:p>
    <w:p>
      <w:pPr>
        <w:spacing w:after="40"/>
        <w:ind w:left="230"/>
      </w:pPr>
      <w:hyperlink w:anchor="b243">
        <w:r>
          <w:rPr>
            <w:sz w:val="20"/>
          </w:rPr>
          <w:t>T31 儿童AD病程</w:t>
        </w:r>
      </w:hyperlink>
    </w:p>
    <w:p>
      <w:pPr>
        <w:spacing w:after="40"/>
        <w:ind w:left="230"/>
      </w:pPr>
      <w:hyperlink w:anchor="b249">
        <w:r>
          <w:rPr>
            <w:sz w:val="20"/>
          </w:rPr>
          <w:t>T32 梅毒检验分期</w:t>
        </w:r>
      </w:hyperlink>
    </w:p>
    <w:p>
      <w:pPr>
        <w:spacing w:after="40"/>
        <w:ind w:left="230"/>
      </w:pPr>
      <w:hyperlink w:anchor="b255">
        <w:r>
          <w:rPr>
            <w:sz w:val="20"/>
          </w:rPr>
          <w:t>T33 生殖器皮损隐私</w:t>
        </w:r>
      </w:hyperlink>
    </w:p>
    <w:p>
      <w:pPr>
        <w:spacing w:after="40"/>
        <w:ind w:left="230"/>
      </w:pPr>
      <w:hyperlink w:anchor="b261">
        <w:r>
          <w:rPr>
            <w:sz w:val="20"/>
          </w:rPr>
          <w:t>T34 多部位皮损动态</w:t>
        </w:r>
      </w:hyperlink>
    </w:p>
    <w:p>
      <w:pPr>
        <w:spacing w:after="40"/>
        <w:ind w:left="230"/>
      </w:pPr>
      <w:hyperlink w:anchor="b267">
        <w:r>
          <w:rPr>
            <w:sz w:val="20"/>
          </w:rPr>
          <w:t>T35 不同部位病理归属</w:t>
        </w:r>
      </w:hyperlink>
    </w:p>
    <w:p>
      <w:pPr>
        <w:spacing w:after="40"/>
        <w:ind w:left="230"/>
      </w:pPr>
      <w:hyperlink w:anchor="b273">
        <w:r>
          <w:rPr>
            <w:sz w:val="20"/>
          </w:rPr>
          <w:t>T36 旧照片与今日查体不一致</w:t>
        </w:r>
      </w:hyperlink>
    </w:p>
    <w:p>
      <w:pPr>
        <w:spacing w:after="40"/>
        <w:ind w:left="230"/>
      </w:pPr>
      <w:hyperlink w:anchor="b279">
        <w:r>
          <w:rPr>
            <w:sz w:val="20"/>
          </w:rPr>
          <w:t>T37 光疗激光参数缺失</w:t>
        </w:r>
      </w:hyperlink>
    </w:p>
    <w:p>
      <w:pPr>
        <w:spacing w:after="40"/>
        <w:ind w:left="230"/>
      </w:pPr>
      <w:hyperlink w:anchor="b285">
        <w:r>
          <w:rPr>
            <w:sz w:val="20"/>
          </w:rPr>
          <w:t>T38 药物停复停用更新</w:t>
        </w:r>
      </w:hyperlink>
    </w:p>
    <w:p>
      <w:pPr>
        <w:spacing w:after="40"/>
        <w:ind w:left="230"/>
      </w:pPr>
      <w:hyperlink w:anchor="b291">
        <w:r>
          <w:rPr>
            <w:sz w:val="20"/>
          </w:rPr>
          <w:t>T39 三级查房差异化</w:t>
        </w:r>
      </w:hyperlink>
    </w:p>
    <w:p>
      <w:pPr>
        <w:spacing w:after="40"/>
        <w:ind w:left="230"/>
      </w:pPr>
      <w:hyperlink w:anchor="b299">
        <w:r>
          <w:rPr>
            <w:sz w:val="20"/>
          </w:rPr>
          <w:t>T40 出院前出院记录格式</w:t>
        </w:r>
      </w:hyperlink>
    </w:p>
    <w:p>
      <w:pPr>
        <w:spacing w:after="40"/>
        <w:ind w:left="0"/>
      </w:pPr>
      <w:hyperlink w:anchor="b307">
        <w:r>
          <w:rPr>
            <w:sz w:val="20"/>
          </w:rPr>
          <w:t>规则修订与回测记录</w:t>
        </w:r>
      </w:hyperlink>
    </w:p>
    <w:p>
      <w:pPr>
        <w:spacing w:after="40"/>
        <w:ind w:left="0"/>
      </w:pPr>
      <w:hyperlink w:anchor="b309">
        <w:r>
          <w:rPr>
            <w:sz w:val="20"/>
          </w:rPr>
          <w:t>真实性限制 常见错误与质控</w:t>
        </w:r>
      </w:hyperlink>
    </w:p>
    <w:p>
      <w:pPr>
        <w:spacing w:after="40"/>
        <w:ind w:left="0"/>
      </w:pPr>
      <w:hyperlink w:anchor="b312">
        <w:r>
          <w:rPr>
            <w:sz w:val="20"/>
          </w:rPr>
          <w:t>模块协同与版本维护</w:t>
        </w:r>
      </w:hyperlink>
    </w:p>
    <w:p>
      <w:pPr>
        <w:spacing w:after="40"/>
        <w:ind w:left="0"/>
      </w:pPr>
      <w:hyperlink w:anchor="b315">
        <w:r>
          <w:rPr>
            <w:sz w:val="20"/>
          </w:rPr>
          <w:t>参考指南及核验范围</w:t>
        </w:r>
      </w:hyperlink>
    </w:p>
    <w:p>
      <w:pPr>
        <w:spacing w:after="40"/>
        <w:ind w:left="0"/>
      </w:pPr>
      <w:hyperlink w:anchor="b323">
        <w:r>
          <w:rPr>
            <w:sz w:val="20"/>
          </w:rPr>
          <w:t>虚构病例示例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模块使用说明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功能定位：终末病历质控、诊断修订及时间轴审查。本库服务中国医院普通皮肤病房、重症、皮肤外科、治疗室及皮肤性病临床，由具有权限的医师审核拟稿。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适用场景与自动调用：每份候选文书输出之前强制执行。必要患者资料：候选稿、来源账本、目标时点、病灶操作药物状态及相关模块。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必须绑定patient_id、encounter_id、lesion_id及适用的procedure_id/specimen_id，附事件时间、记录时间、来源及核验状态。患者自述、医师实查、普通照片可见内容、真实皮肤镜、病原学、组织病理、免疫荧光、自身抗体和临床综合判断分别保存。医学知识不是患者事实；未知不等于阴性；既往查体不等于今日查体。建议、拟定、已开医嘱、已执行、暂停、停用、恢复和取消分离。不得补造身份、皮损、触诊、评分、检查、操作参数、药量、疗效、并发症、沟通、到场查房或签名。</w:t>
      </w:r>
    </w:p>
    <w:p>
      <w:bookmarkStart w:id="4" w:name="b4"/>
      <w:pPr>
        <w:pStyle w:val="Heading1"/>
      </w:pPr>
      <w:r>
        <w:t>正式医学文书输出规范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所有正式医学文书正文使用Markdown text代码框。文书日期、时间、标题及医师姓名和职称组成的查房标题均位于代码框外；代码框内只放实际医学文书正文，不重复题头日期标题，不加AI前言、推理过程或无关备注。日常病程及主治、副主任、主任查房正文连续写成完整一整段，不分条、不留空行、不插入多余空格，不因格式遗漏必要内容。入院、首次病程、手术、讨论、抢救和出院等有固定栏目要求的文书可保留必要结构。抢救及用药等临床事件时间属于事实，须在正文保留。正式文书不得出现未替换占位符；关键事实缺失须在框外提示核实并阻断受影响的净稿。禁止出现“根据昨天的病程”“结合前一天的检查”“根据用户上传的图片”“AI分析认为”；历史检查直接注明真实检查日期。本库【字段】均为编写模板变量，虚构病例仅供测试，二者不得导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运行边界：这是可供AI读取的Word规则库，未连接医院电子病历、患者数据库或后台调度。自动调用是执行协议，须实际读取相应模块；不声称跨会话保存病历。不代替现场诊断、处方、操作授权、实际知情同意或医师签名。</w:t>
      </w:r>
    </w:p>
    <w:p>
      <w:bookmarkStart w:id="7" w:name="b7"/>
      <w:pPr>
        <w:pStyle w:val="Heading1"/>
      </w:pPr>
      <w:r>
        <w:t>三级问题与放行规则</w:t>
      </w:r>
      <w:bookmarkEnd w:id="7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4176"/>
      </w:tblGrid>
      <w:tr>
        <w:trPr>
          <w:tblHeader/>
        </w:trPr>
        <w:tc>
          <w:tcPr>
            <w:tcW w:type="dxa" w:w="1800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级别</w:t>
            </w:r>
          </w:p>
        </w:tc>
        <w:tc>
          <w:tcPr>
            <w:tcW w:type="dxa" w:w="3816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判断</w:t>
            </w:r>
          </w:p>
        </w:tc>
        <w:tc>
          <w:tcPr>
            <w:tcW w:type="dxa" w:w="4176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处置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严重错误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身份住院错配，关键病理归属错，操作和危险药执行冲突，危急信号漏处理或编造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阻断未经核实正式净稿，框外指明核实对象；紧急现场评估不等待文书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重要错误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诊断越级、缺量表变量、治疗状态或待回结果管理不完整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修正或降为待排，关键缺项仍阻断；重新审查相关模块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一般问题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术语格式、非关键重复、无关栏目及非必要空格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规范编辑后再检查，不以润色改变事实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bookmarkStart w:id="9" w:name="b9"/>
      <w:pPr>
        <w:pStyle w:val="Heading1"/>
      </w:pPr>
      <w:r>
        <w:t>46项终审清单</w:t>
      </w:r>
      <w:bookmarkEnd w:id="9"/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01 患者身份：核对真实来源、适用范围、时点、当前状态及与相邻事实一致性；未知不等阴性。发生关键冲突按严重错误阻断净稿。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02 本次住院：核对真实来源、适用范围、时点、当前状态及与相邻事实一致性；未知不等阴性。发生关键冲突按严重错误阻断净稿。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03 当前文书时间：核对真实来源、适用范围、时点、当前状态及与相邻事实一致性；未知不等阴性。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04 皮损发生时间：核对真实来源、适用范围、时点、当前状态及与相邻事实一致性；未知不等阴性。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05 皮损部位：核对真实来源、适用范围、时点、当前状态及与相邻事实一致性；未知不等阴性。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06 左右侧：核对真实来源、适用范围、时点、当前状态及与相邻事实一致性；未知不等阴性。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07 皮损数量：核对真实来源、适用范围、时点、当前状态及与相邻事实一致性；未知不等阴性。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08 皮损形态：核对真实来源、适用范围、时点、当前状态及与相邻事实一致性；未知不等阴性。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09 原发与继发皮损：核对真实来源、适用范围、时点、当前状态及与相邻事实一致性；未知不等阴性。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10 皮损大小：核对真实来源、适用范围、时点、当前状态及与相邻事实一致性；未知不等阴性。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11 颜色及边界：核对真实来源、适用范围、时点、当前状态及与相邻事实一致性；未知不等阴性。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12 分布：核对真实来源、适用范围、时点、当前状态及与相邻事实一致性；未知不等阴性。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13 黏膜累及：核对真实来源、适用范围、时点、当前状态及与相邻事实一致性；未知不等阴性。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14 瘙痒及疼痛情况：核对真实来源、适用范围、时点、当前状态及与相邻事实一致性；未知不等阴性。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15 皮损面积：核对真实来源、适用范围、时点、当前状态及与相邻事实一致性；未知不等阴性。量表版本、分项、评估者和日期不全不生成数值；面积区分估算和实测。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16 严重程度评分：核对真实来源、适用范围、时点、当前状态及与相邻事实一致性；未知不等阴性。量表版本、分项、评估者和日期不全不生成数值；面积区分估算和实测。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17 皮肤照片日期：核对真实来源、适用范围、时点、当前状态及与相邻事实一致性；未知不等阴性。历史观察不可继承今日，照片不能代触诊或敷料下实查。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18 皮肤镜检查实际状态：核对真实来源、适用范围、时点、当前状态及与相邻事实一致性；未知不等阴性。历史观察不可继承今日，照片不能代触诊或敷料下实查。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19 病原学检查：核对真实来源、适用范围、时点、当前状态及与相邻事实一致性；未知不等阴性。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20 真菌镜检与培养：核对真实来源、适用范围、时点、当前状态及与相邻事实一致性；未知不等阴性。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21 活检日期：核对真实来源、适用范围、时点、当前状态及与相邻事实一致性；未知不等阴性。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22 活检具体部位：核对真实来源、适用范围、时点、当前状态及与相邻事实一致性；未知不等阴性。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23 活检标本对应关系：核对真实来源、适用范围、时点、当前状态及与相邻事实一致性；未知不等阴性。发生关键冲突按严重错误阻断净稿。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24 常规组织病理：核对真实来源、适用范围、时点、当前状态及与相邻事实一致性；未知不等阴性。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25 免疫荧光：核对真实来源、适用范围、时点、当前状态及与相邻事实一致性；未知不等阴性。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26 自身抗体及其他检验：核对真实来源、适用范围、时点、当前状态及与相邻事实一致性；未知不等阴性。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27 病理证据与诊断的一致性：核对真实来源、适用范围、时点、当前状态及与相邻事实一致性；未知不等阴性。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28 药物开始调整及停用：核对真实来源、适用范围、时点、当前状态及与相邻事实一致性；未知不等阴性。发生关键冲突按严重错误阻断净稿。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29 生物制剂治疗状态：核对真实来源、适用范围、时点、当前状态及与相邻事实一致性；未知不等阴性。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30 免疫抑制剂使用状态：核对真实来源、适用范围、时点、当前状态及与相邻事实一致性；未知不等阴性。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31 治疗相关安全监测：核对真实来源、适用范围、时点、当前状态及与相邻事实一致性；未知不等阴性。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32 光疗和激光实际参数：核对真实来源、适用范围、时点、当前状态及与相邻事实一致性；未知不等阴性。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33 皮肤外科实际手术：核对真实来源、适用范围、时点、当前状态及与相邻事实一致性；未知不等阴性。发生关键冲突按严重错误阻断净稿。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34 术后创面状态：核对真实来源、适用范围、时点、当前状态及与相邻事实一致性；未知不等阴性。历史观察不可继承今日，照片不能代触诊或敷料下实查。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35 重症药疹严重程度：核对真实来源、适用范围、时点、当前状态及与相邻事实一致性；未知不等阴性。发生关键冲突按严重错误阻断净稿。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36 感染及并发症依据：核对真实来源、适用范围、时点、当前状态及与相邻事实一致性；未知不等阴性。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37 三级医师查房：核对真实来源、适用范围、时点、当前状态及与相邻事实一致性；未知不等阴性。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38 会诊及抢救：核对真实来源、适用范围、时点、当前状态及与相邻事实一致性；未知不等阴性。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39 诊断修正：核对真实来源、适用范围、时点、当前状态及与相邻事实一致性；未知不等阴性。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40 出院诊断：核对真实来源、适用范围、时点、当前状态及与相邻事实一致性；未知不等阴性。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41 出院医嘱：核对真实来源、适用范围、时点、当前状态及与相邻事实一致性；未知不等阴性。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42 多次活检和治疗时间轴：核对真实来源、适用范围、时点、当前状态及与相邻事实一致性；未知不等阴性。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43 敏感部位隐私：核对真实来源、适用范围、时点、当前状态及与相邻事实一致性；未知不等阴性。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44 跨患者照片及病理污染：核对真实来源、适用范围、时点、当前状态及与相邻事实一致性；未知不等阴性。发生关键冲突按严重错误阻断净稿。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45 复制粘贴错误：核对真实来源、适用范围、时点、当前状态及与相邻事实一致性；未知不等阴性。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1"/>
        </w:rPr>
        <w:t>46 正式文书代码框格式：核对真实来源、适用范围、时点、当前状态及与相邻事实一致性；未知不等阴性。题头在框外；text框内仅正文；日常及三级查房一整段；无占位符和AI前言。</w:t>
      </w:r>
    </w:p>
    <w:p>
      <w:bookmarkStart w:id="56" w:name="b56"/>
      <w:pPr>
        <w:pStyle w:val="Heading1"/>
      </w:pPr>
      <w:r>
        <w:t>诊断修正与证据不一致闭环</w:t>
      </w:r>
      <w:bookmarkEnd w:id="5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写清原诊断确定度、引发修正的真实报告和回报时间、对应标本部位、当前整合结论及未决问题。保存supersedes链，不把补充报告默改原病理，不倒填过去文书。临床病理冲突先查身份、病灶代表性、取材部位与治疗影响，再按实际讨论复阅复取材，不凭模板选择一个结论。</w:t>
      </w:r>
    </w:p>
    <w:p>
      <w:bookmarkStart w:id="58" w:name="b58"/>
      <w:pPr>
        <w:pStyle w:val="Heading1"/>
      </w:pPr>
      <w:r>
        <w:t>输出前审查执行</w:t>
      </w:r>
      <w:bookmarkEnd w:id="5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候选逐句寻找事实来源→核患者住院病灶与标本→检查available_at→审确定度及量表→核医嘱和执行→核真实上级意见和操作→核危急与待回结果→检测格式占位。全部关键问题解决才形成可签署的医师审核净稿；非关键未知可省。若阻断，核对项在框外，不把安全提示或无法生成声明伪装正式医疗事实。</w:t>
      </w:r>
    </w:p>
    <w:p>
      <w:bookmarkStart w:id="60" w:name="b60"/>
      <w:pPr>
        <w:pStyle w:val="Heading1"/>
      </w:pPr>
      <w:r>
        <w:t>40个虚构临床场景验证及边界</w:t>
      </w:r>
      <w:bookmarkEnd w:id="6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均为人工构造的TEST病例。实际执行本地参考校验器：40个场景的合法候选通过，逐例13个维度共520项协议检查；每项另构造错误候选，共520项反向护栏均被拦截，并完成多标本归属及停复药2项独立状态演算。文书为本次人工编写的参考输出，非调用独立大模型生成；结果只证明参考规则及格式/状态校验，不能等同完整AI临床推理性能、真实医院试用或医疗认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个检查维度为：患者身份、临床事实真实性、形态及解剖定位、照片与当日查体、病原学及病理证据、诊断合理与确定度、严重程度依据、治疗执行状态、操作真实性、并发症证据、医师层级、时间轴、代码框可复制性。对未发生或不适用维度检查其未被自动补造，不将缺失视为阴性。反向校验依次测试异身份、无来源、错病灶、照片冒查体、错标本、诊断越级、缺评分变量、药物与操作计划冒执行、无证并发症、虚构上级意见、未来信息及错误代码框。</w:t>
      </w:r>
    </w:p>
    <w:p>
      <w:bookmarkStart w:id="63" w:name="b63"/>
      <w:pPr>
        <w:pStyle w:val="Heading2"/>
      </w:pPr>
      <w:r>
        <w:t>T01 急性湿疹首次病程</w:t>
      </w:r>
      <w:bookmarkEnd w:id="6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虚构输入：TEST001/E01；右前臂红斑丘疹伴少量渗出2日，今日实查与病史对应。最小路由：01＋11＋101，按任务加02至09，最终10。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参考判断：临床初步考虑急性湿疹样皮炎，需结合接触史鉴别接触性皮炎，尚无已执行用药资料。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首次病程记录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病例特点：右前臂红斑丘疹伴少量渗出2日，今日实查与病史对应。</w:t>
        <w:br/>
        <w:t>初步诊断及依据：临床初步考虑急性湿疹样皮炎，需结合接触史鉴别接触性皮炎，尚无已执行用药资料。</w:t>
        <w:br/>
        <w:t>鉴别及计划：结合现有资料保留待查诊断，按医师确认的检查治疗计划执行，未提供的阴性查体及实际用药不补填。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69" w:name="b69"/>
      <w:pPr>
        <w:pStyle w:val="Heading2"/>
      </w:pPr>
      <w:r>
        <w:t>T02 特应性皮炎主任医师查房</w:t>
      </w:r>
      <w:bookmarkEnd w:id="6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虚构输入：TEST002/E01；反复屈侧湿疹3年，今日双肘窝红斑抓痕；测试丙主任实际意见为复核诊断标准并评估感染及长期维持。最小路由：01＋11＋101，按任务加02至09，最终10。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参考判断：今日随测试丙主任医师查房，复核慢性反复病程和屈侧皮损支持特应性皮炎临床判断，长期治疗升级需结合严重度和筛查，当前未证实系统用药执行。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反复屈侧湿疹3年，今日双肘窝红斑抓痕；测试丙主任实际意见为复核诊断标准并评估感染及长期维持。今日随测试丙主任医师查房，复核慢性反复病程和屈侧皮损支持特应性皮炎临床判断，长期治疗升级需结合严重度和筛查，当前未证实系统用药执行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75" w:name="b75"/>
      <w:pPr>
        <w:pStyle w:val="Heading2"/>
      </w:pPr>
      <w:r>
        <w:t>T03 慢性手部湿疹治疗调整</w:t>
      </w:r>
      <w:bookmarkEnd w:id="7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虚构输入：TEST003/E01；双手掌肥厚鳞屑伴裂隙4月，湿作业相关；医师拟调整局部方案，尚无新医嘱及执行。最小路由：01＋11＋101，按任务加02至09，最终10。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参考判断：考虑慢性手部湿疹，拟进一步评估刺激与变应性因素；拟调整不能写已调整或已见效。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双手掌肥厚鳞屑伴裂隙4月，湿作业相关；医师拟调整局部方案，尚无新医嘱及执行。考虑慢性手部湿疹，拟进一步评估刺激与变应性因素；拟调整不能写已调整或已见效。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81" w:name="b81"/>
      <w:pPr>
        <w:pStyle w:val="Heading2"/>
      </w:pPr>
      <w:r>
        <w:t>T04 慢性荨麻疹病程</w:t>
      </w:r>
      <w:bookmarkEnd w:id="8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虚构输入：TEST004/E01；反复风团3月，每处数小时内消退，今日患者诉仍瘙痒，只有2日日记。最小路由：01＋11＋101，按任务加02至09，最终10。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参考判断：病程支持慢性荨麻疹，日记不足连续7日，本次不计算UAS7。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反复风团3月，每处数小时内消退，今日患者诉仍瘙痒，只有2日日记。病程支持慢性荨麻疹，日记不足连续7日，本次不计算UAS7。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87" w:name="b87"/>
      <w:pPr>
        <w:pStyle w:val="Heading2"/>
      </w:pPr>
      <w:r>
        <w:t>T05 寻常型银屑病首次病程</w:t>
      </w:r>
      <w:bookmarkEnd w:id="8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虚构输入：TEST005/E01；肘膝界清红色斑块伴鳞屑1年，今日未提供真菌或病理，医师初诊考虑寻常型银屑病。最小路由：01＋11＋102，按任务加02至09，最终10。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参考判断：目前保留临床初诊，需根据非典型表现鉴别体癣等，未提供完整PASI变量。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首次病程记录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病例特点：肘膝界清红色斑块伴鳞屑1年，今日未提供真菌或病理，医师初诊考虑寻常型银屑病。</w:t>
        <w:br/>
        <w:t>初步诊断及依据：目前保留临床初诊，需根据非典型表现鉴别体癣等，未提供完整PASI变量。</w:t>
        <w:br/>
        <w:t>鉴别及计划：结合现有资料保留待查诊断，按医师确认的检查治疗计划执行，未提供的阴性查体及实际用药不补填。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93" w:name="b93"/>
      <w:pPr>
        <w:pStyle w:val="Heading2"/>
      </w:pPr>
      <w:r>
        <w:t>T06 PASI资料不足评分限制</w:t>
      </w:r>
      <w:bookmarkEnd w:id="9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虚构输入：TEST006/E01；四肢斑块伴鳞屑，仅有普通照片，未提供四区面积级和浸润等分项。最小路由：01＋11＋102，按任务加02至09，最终10。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参考判断：现有资料不足计算PASI或精确BSA，照片可见鳞屑不能替代浸润触诊。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病情评估记录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四肢斑块伴鳞屑，仅有普通照片，未提供四区面积级和浸润等分项。现有资料不足计算PASI或精确BSA，照片可见鳞屑不能替代浸润触诊。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99" w:name="b99"/>
      <w:pPr>
        <w:pStyle w:val="Heading2"/>
      </w:pPr>
      <w:r>
        <w:t>T07 生物制剂治疗状态管理</w:t>
      </w:r>
      <w:bookmarkEnd w:id="9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虚构输入：TEST007/E01；医师拟生物制剂，处方及首针执行均未提供，感染筛查尚拟检查。最小路由：01＋11＋102，按任务加02至09，最终10。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参考判断：当前为拟定阶段，不能写筛查全阴性、已注射首针或皮损改善。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医师拟生物制剂，处方及首针执行均未提供，感染筛查尚拟检查。当前为拟定阶段，不能写筛查全阴性、已注射首针或皮损改善。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05" w:name="b105"/>
      <w:pPr>
        <w:pStyle w:val="Heading2"/>
      </w:pPr>
      <w:r>
        <w:t>T08 泛发性脓疱型银屑病危重</w:t>
      </w:r>
      <w:bookmarkEnd w:id="10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虚构输入：TEST008/E01；今日躯干四肢红斑基础上新发多枚脓疱，体温39.0℃，既往银屑病，尚无培养。最小路由：01＋11＋102，按任务加02至09，最终10。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参考判断：需立即现场评估泛发性脓疱型银屑病、AGEP及感染，开展生命体征和器官评估；培养未完成不能称无菌确诊。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危重病程记录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今日躯干四肢红斑基础上新发多枚脓疱，体温39.0℃，既往银屑病，尚无培养。需立即现场评估泛发性脓疱型银屑病、AGEP及感染，开展生命体征和器官评估；培养未完成不能称无菌确诊。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11" w:name="b111"/>
      <w:pPr>
        <w:pStyle w:val="Heading2"/>
      </w:pPr>
      <w:r>
        <w:t>T09 真菌感染首次病程</w:t>
      </w:r>
      <w:bookmarkEnd w:id="11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虚构输入：TEST009/E01；右腹股沟环状红斑鳞屑2周，今日未做真菌检查。最小路由：01＋11＋103，按任务加02至09，最终10。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参考判断：临床考虑股癣待排，需镜检等证据，环状外观不能直接确诊真菌病或指定病原。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首次病程记录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病例特点：右腹股沟环状红斑鳞屑2周，今日未做真菌检查。</w:t>
        <w:br/>
        <w:t>初步诊断及依据：临床考虑股癣待排，需镜检等证据，环状外观不能直接确诊真菌病或指定病原。</w:t>
        <w:br/>
        <w:t>鉴别及计划：结合现有资料保留待查诊断，按医师确认的检查治疗计划执行，未提供的阴性查体及实际用药不补填。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17" w:name="b117"/>
      <w:pPr>
        <w:pStyle w:val="Heading2"/>
      </w:pPr>
      <w:r>
        <w:t>T10 镜检培养分析</w:t>
      </w:r>
      <w:bookmarkEnd w:id="11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虚构输入：TEST010/E01；左足趾间取材镜检见菌丝，培养鉴定尚未回报；另一份手部培养未采。最小路由：01＋11＋103，按任务加02至09，最终10。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参考判断：左足病变有真菌学支持，病原种尚未确定，结果不能归于手部。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检查分析记录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左足趾间取材镜检见菌丝，培养鉴定尚未回报；另一份手部培养未采。左足病变有真菌学支持，病原种尚未确定，结果不能归于手部。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23" w:name="b123"/>
      <w:pPr>
        <w:pStyle w:val="Heading2"/>
      </w:pPr>
      <w:r>
        <w:t>T11 蜂窝织炎病程</w:t>
      </w:r>
      <w:bookmarkEnd w:id="12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虚构输入：TEST011/E01；左小腿红肿疼痛1日，医师当日触诊皮温升高，体温38.2℃，尚未做培养。最小路由：01＋11＋103，按任务加02至09，最终10。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参考判断：临床考虑蜂窝织炎，需评估全身及深部危险，不能根据发热自动写脓毒症或确定菌种。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左小腿红肿疼痛1日，医师当日触诊皮温升高，体温38.2℃，尚未做培养。临床考虑蜂窝织炎，需评估全身及深部危险，不能根据发热自动写脓毒症或确定菌种。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29" w:name="b129"/>
      <w:pPr>
        <w:pStyle w:val="Heading2"/>
      </w:pPr>
      <w:r>
        <w:t>T12 带状疱疹主治医师查房</w:t>
      </w:r>
      <w:bookmarkEnd w:id="12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虚构输入：TEST012/E01；右胸背单侧群集水疱伴疼痛；测试甲主治实际意见为核对抗病毒执行及评估眼耳神经症状。最小路由：01＋11＋103，按任务加02至09，最终10。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参考判断：今日随测试甲主治医师查房，当前临床考虑带状疱疹，需核对实际给药并观察新疱和疼痛，尚不能填写未实际询问的阴性症状。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右胸背单侧群集水疱伴疼痛；测试甲主治实际意见为核对抗病毒执行及评估眼耳神经症状。今日随测试甲主治医师查房，当前临床考虑带状疱疹，需核对实际给药并观察新疱和疼痛，尚不能填写未实际询问的阴性症状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35" w:name="b135"/>
      <w:pPr>
        <w:pStyle w:val="Heading2"/>
      </w:pPr>
      <w:r>
        <w:t>T13 天疱疮首次病程</w:t>
      </w:r>
      <w:bookmarkEnd w:id="13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虚构输入：TEST013/E01；躯干松弛性水疱糜烂伴口腔疼痛1周，HE和DIF拟取材，未采。最小路由：01＋11＋104，按任务加02至09，最终10。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参考判断：临床考虑自身免疫性大疱病，天疱疮待排，拟取材不等病理待回或已确诊。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首次病程记录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病例特点：躯干松弛性水疱糜烂伴口腔疼痛1周，HE和DIF拟取材，未采。</w:t>
        <w:br/>
        <w:t>初步诊断及依据：临床考虑自身免疫性大疱病，天疱疮待排，拟取材不等病理待回或已确诊。</w:t>
        <w:br/>
        <w:t>鉴别及计划：结合现有资料保留待查诊断，按医师确认的检查治疗计划执行，未提供的阴性查体及实际用药不补填。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41" w:name="b141"/>
      <w:pPr>
        <w:pStyle w:val="Heading2"/>
      </w:pPr>
      <w:r>
        <w:t>T14 类天疱疮病理分析</w:t>
      </w:r>
      <w:bookmarkEnd w:id="14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虚构输入：TEST014/E01；S01左前臂HE提示表皮下水疱，BP180阳性；DIF尚未回报。最小路由：01＋11＋104，按任务加02至09，最终10。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参考判断：结合临床紧张性水疱可考虑类天疱疮，需整合DIF等证据，不能把BP180单阳写综合确诊。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病理分析记录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S01左前臂HE提示表皮下水疱，BP180阳性；DIF尚未回报。结合临床紧张性水疱可考虑类天疱疮，需整合DIF等证据，不能把BP180单阳写综合确诊。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47" w:name="b147"/>
      <w:pPr>
        <w:pStyle w:val="Heading2"/>
      </w:pPr>
      <w:r>
        <w:t>T15 DIF后诊断修正</w:t>
      </w:r>
      <w:bookmarkEnd w:id="14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虚构输入：TEST015/E01；10月30日08:00回报S01左前臂DIF基底膜带线状IgG和C3，原HE表皮下疱，医师09:00综合确诊BP。最小路由：01＋11＋104，按任务加02至09，最终10。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参考判断：当前诊断修正为大疱性类天疱疮；该结果不能倒填到10月29日病程。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病理回报记录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10月30日08:00回报S01左前臂DIF基底膜带线状IgG和C3，原HE表皮下疱，医师09:00综合确诊BP。当前诊断修正为大疱性类天疱疮；该结果不能倒填到10月29日病程。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53" w:name="b153"/>
      <w:pPr>
        <w:pStyle w:val="Heading2"/>
      </w:pPr>
      <w:r>
        <w:t>T16 血管炎首次病程</w:t>
      </w:r>
      <w:bookmarkEnd w:id="15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虚构输入：TEST016/E01；双小腿可触性紫癜3日，今日未提供尿检肾功能及病理。最小路由：01＋11＋104，按任务加02至09，最终10。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参考判断：临床考虑皮肤血管炎待查，需评价系统受累，不能把紫癜直接写IgA血管炎或肾脏正常。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首次病程记录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病例特点：双小腿可触性紫癜3日，今日未提供尿检肾功能及病理。</w:t>
        <w:br/>
        <w:t>初步诊断及依据：临床考虑皮肤血管炎待查，需评价系统受累，不能把紫癜直接写IgA血管炎或肾脏正常。</w:t>
        <w:br/>
        <w:t>鉴别及计划：结合现有资料保留待查诊断，按医师确认的检查治疗计划执行，未提供的阴性查体及实际用药不补填。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59" w:name="b159"/>
      <w:pPr>
        <w:pStyle w:val="Heading2"/>
      </w:pPr>
      <w:r>
        <w:t>T17 红皮病主任医师查房</w:t>
      </w:r>
      <w:bookmarkEnd w:id="15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虚构输入：TEST017/E01；泛发红斑脱屑伴寒战，未测准确面积；测试丙主任实际意见为排药疹和淋巴瘤并评液体营养。最小路由：01＋11＋06，按任务加02至09，最终10。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参考判断：今日随测试丙主任医师查房，目前以红皮病综合征评估，病因仍待查，需现场监测全身状况，不能直接归为银屑病。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泛发红斑脱屑伴寒战，未测准确面积；测试丙主任实际意见为排药疹和淋巴瘤并评液体营养。今日随测试丙主任医师查房，目前以红皮病综合征评估，病因仍待查，需现场监测全身状况，不能直接归为银屑病。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65" w:name="b165"/>
      <w:pPr>
        <w:pStyle w:val="Heading2"/>
      </w:pPr>
      <w:r>
        <w:t>T18 SJS TEN待排危重病程</w:t>
      </w:r>
      <w:bookmarkEnd w:id="16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虚构输入：TEST018/E01；新药后发热及痛性暗红斑，口腔糜烂，剥脱面积尿素血糖和碳酸氢盐未提供。最小路由：01＋11＋06，按任务加02至09，最终10。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参考判断：立即现场评估严重药疹及SJS/TEN待排，不能确定TEN或计算SCORTEN，文书资料缺失不得延误处置。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危重病程记录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新药后发热及痛性暗红斑，口腔糜烂，剥脱面积尿素血糖和碳酸氢盐未提供。立即现场评估严重药疹及SJS/TEN待排，不能确定TEN或计算SCORTEN，文书资料缺失不得延误处置。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71" w:name="b171"/>
      <w:pPr>
        <w:pStyle w:val="Heading2"/>
      </w:pPr>
      <w:r>
        <w:t>T19 DRESS药物时间轴</w:t>
      </w:r>
      <w:bookmarkEnd w:id="17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虚构输入：TEST019/E01；药A10月1日开始、10月20日末次，10月22日起皮疹发热；ALT升高，未提供嗜酸细胞及其他病因排查。最小路由：01＋11＋06，按任务加02至09，最终10。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参考判断：考虑DRESS等药物反应待排，时间关系仅支持可疑药物，不直接确诊或填写RegiSCAR分数。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药物时间轴分析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药A10月1日开始、10月20日末次，10月22日起皮疹发热；ALT升高，未提供嗜酸细胞及其他病因排查。考虑DRESS等药物反应待排，时间关系仅支持可疑药物，不直接确诊或填写RegiSCAR分数。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77" w:name="b177"/>
      <w:pPr>
        <w:pStyle w:val="Heading2"/>
      </w:pPr>
      <w:r>
        <w:t>T20 严重药疹多科会诊</w:t>
      </w:r>
      <w:bookmarkEnd w:id="17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虚构输入：TEST020/E01；今日已申请眼科及重症会诊，尚未提供到场及意见。最小路由：01＋11＋06，按任务加02至09，最终10。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参考判断：当前只能记录会诊已申请，不能写各科已到场或同意某治疗；病情危急仍需现场处理。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会诊申请记录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今日已申请眼科及重症会诊，尚未提供到场及意见。当前只能记录会诊已申请，不能写各科已到场或同意某治疗；病情危急仍需现场处理。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83" w:name="b183"/>
      <w:pPr>
        <w:pStyle w:val="Heading2"/>
      </w:pPr>
      <w:r>
        <w:t>T21 痤疮专科评估</w:t>
      </w:r>
      <w:bookmarkEnd w:id="18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虚构输入：TEST021/E01；面部粉刺、丘疹脓疱及2个结节，未提供2025评分表或既往系统治疗。最小路由：01＋11＋105，按任务加02至09，最终10。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参考判断：临床表型支持痤疮，结节提示瘢痕风险，尚不能凭不明分级体系填新版严重度或异维A酸已用。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专科检查记录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面部粉刺、丘疹脓疱及2个结节，未提供2025评分表或既往系统治疗。临床表型支持痤疮，结节提示瘢痕风险，尚不能凭不明分级体系填新版严重度或异维A酸已用。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89" w:name="b189"/>
      <w:pPr>
        <w:pStyle w:val="Heading2"/>
      </w:pPr>
      <w:r>
        <w:t>T22 玫瑰痤疮首次病程</w:t>
      </w:r>
      <w:bookmarkEnd w:id="18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虚构输入：TEST022/E01；面中部反复潮红及持续红斑伴丘疹，患者无已知激素外用记录，检查未完成。最小路由：01＋11＋105，按任务加02至09，最终10。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参考判断：临床考虑玫瑰痤疮，需结合分部位表现排其他原因，不能引用仅注册的2026版推荐。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首次病程记录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病例特点：面中部反复潮红及持续红斑伴丘疹，患者无已知激素外用记录，检查未完成。</w:t>
        <w:br/>
        <w:t>初步诊断及依据：临床考虑玫瑰痤疮，需结合分部位表现排其他原因，不能引用仅注册的2026版推荐。</w:t>
        <w:br/>
        <w:t>鉴别及计划：结合现有资料保留待查诊断，按医师确认的检查治疗计划执行，未提供的阴性查体及实际用药不补填。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195" w:name="b195"/>
      <w:pPr>
        <w:pStyle w:val="Heading2"/>
      </w:pPr>
      <w:r>
        <w:t>T23 斑秃毛发镜分析</w:t>
      </w:r>
      <w:bookmarkEnd w:id="19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虚构输入：TEST023/E01；头皮一处脱发斑，真正毛发镜见黄点及断发，尚无SALT全头范围。最小路由：01＋11＋105，按任务加02至09，最终10。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参考判断：毛发镜表现可支持斑秃鉴别，不能直接计算SALT或排除头癣等全部病因。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毛发镜分析记录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头皮一处脱发斑，真正毛发镜见黄点及断发，尚无SALT全头范围。毛发镜表现可支持斑秃鉴别，不能直接计算SALT或排除头癣等全部病因。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01" w:name="b201"/>
      <w:pPr>
        <w:pStyle w:val="Heading2"/>
      </w:pPr>
      <w:r>
        <w:t>T24 甲病专科检查</w:t>
      </w:r>
      <w:bookmarkEnd w:id="20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虚构输入：TEST024/E01；右足第1趾甲增厚发黄伴甲分离，尚无真菌取材。最小路由：01＋11＋105，按任务加02至09，最终10。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参考判断：记录甲营养不良待查，需鉴别真菌感染、外伤和银屑病甲，不能自动确诊甲真菌病。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专科检查记录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右足第1趾甲增厚发黄伴甲分离，尚无真菌取材。记录甲营养不良待查，需鉴别真菌感染、外伤和银屑病甲，不能自动确诊甲真菌病。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07" w:name="b207"/>
      <w:pPr>
        <w:pStyle w:val="Heading2"/>
      </w:pPr>
      <w:r>
        <w:t>T25 色素痣活检前</w:t>
      </w:r>
      <w:bookmarkEnd w:id="20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虚构输入：TEST025/E01；左背L01色素性丘疹，拟下日活检，未提供操作完成记录。最小路由：01＋11＋106，按任务加02至09，最终10。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参考判断：当前为拟活检，不填写麻醉、切口、标本号或术后恢复。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活检前病程记录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左背L01色素性丘疹，拟下日活检，未提供操作完成记录。当前为拟活检，不填写麻醉、切口、标本号或术后恢复。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13" w:name="b213"/>
      <w:pPr>
        <w:pStyle w:val="Heading2"/>
      </w:pPr>
      <w:r>
        <w:t>T26 肿瘤活检后记录</w:t>
      </w:r>
      <w:bookmarkEnd w:id="21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虚构输入：TEST026/E01；左背L01于10月29日完成P01切取活检，S01送HE，10月30日病理未回。最小路由：01＋11＋106，按任务加02至09，最终10。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参考判断：目前为已取材病理待回，不能把切取活检写病灶完整切除或良性确诊。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术后日常病程记录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左背L01于10月29日完成P01切取活检，S01送HE，10月30日病理未回。目前为已取材病理待回，不能把切取活检写病灶完整切除或良性确诊。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19" w:name="b219"/>
      <w:pPr>
        <w:pStyle w:val="Heading2"/>
      </w:pPr>
      <w:r>
        <w:t>T27 BCC切除术后</w:t>
      </w:r>
      <w:bookmarkEnd w:id="21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虚构输入：TEST027/E01；右鼻旁已行P01切除，原活检BCC，切除标本S02切缘未回，今日仅见敷料外观。最小路由：01＋11＋106，按任务加02至09，最终10。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参考判断：原BCC诊断有病理支持，但此次切缘和敷料下创面尚未证实，不能写切缘阴性或一期愈合。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术后日常病程记录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右鼻旁已行P01切除，原活检BCC，切除标本S02切缘未回，今日仅见敷料外观。原BCC诊断有病理支持，但此次切缘和敷料下创面尚未证实，不能写切缘阴性或一期愈合。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25" w:name="b225"/>
      <w:pPr>
        <w:pStyle w:val="Heading2"/>
      </w:pPr>
      <w:r>
        <w:t>T28 鳞癌病理后主任查房</w:t>
      </w:r>
      <w:bookmarkEnd w:id="22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虚构输入：TEST028/E01；S01右前臂病理为鳞癌，报告深切缘阳性；测试丙主任实际意见为讨论追加治疗。最小路由：01＋11＋106，按任务加02至09，最终10。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参考判断：今日随测试丙主任医师查房，病理支持鳞癌且深切缘阳性，需结合风险讨论进一步处理，不能写已完整切除或自动确定TNM。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S01右前臂病理为鳞癌，报告深切缘阳性；测试丙主任实际意见为讨论追加治疗。今日随测试丙主任医师查房，病理支持鳞癌且深切缘阳性，需结合风险讨论进一步处理，不能写已完整切除或自动确定TNM。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31" w:name="b231"/>
      <w:pPr>
        <w:pStyle w:val="Heading2"/>
      </w:pPr>
      <w:r>
        <w:t>T29 黑色素瘤待查证据控制</w:t>
      </w:r>
      <w:bookmarkEnd w:id="23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虚构输入：TEST029/E01；左足底色素病灶，真实皮肤镜提示可疑恶性，尚无活检。最小路由：01＋11＋106，按任务加02至09，最终10。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参考判断：保持黑色素瘤待排或色素性皮损待查，不能填Breslow厚度、溃疡分期或病理确诊。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诊断分析记录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左足底色素病灶，真实皮肤镜提示可疑恶性，尚无活检。保持黑色素瘤待排或色素性皮损待查，不能填Breslow厚度、溃疡分期或病理确诊。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37" w:name="b237"/>
      <w:pPr>
        <w:pStyle w:val="Heading2"/>
      </w:pPr>
      <w:r>
        <w:t>T30 白癜风治疗分析</w:t>
      </w:r>
      <w:bookmarkEnd w:id="23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虚构输入：TEST030/E01；双手背脱色斑，患者述近期新增斑，Wood灯未做；医师拟评估光疗。最小路由：01＋11＋107，按任务加02至09，最终10。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参考判断：临床考虑白癜风进展可能，需核实动态证据及治疗适应性，拟光疗不产生实际剂量或疗效。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治疗方案分析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双手背脱色斑，患者述近期新增斑，Wood灯未做；医师拟评估光疗。临床考虑白癜风进展可能，需核实动态证据及治疗适应性，拟光疗不产生实际剂量或疗效。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43" w:name="b243"/>
      <w:pPr>
        <w:pStyle w:val="Heading2"/>
      </w:pPr>
      <w:r>
        <w:t>T31 儿童AD病程</w:t>
      </w:r>
      <w:bookmarkEnd w:id="24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虚构输入：TEST031/E01；3岁患儿肘窝反复湿疹，未提供本次实测体重及系统药医嘱。最小路由：01＋11＋107，按任务加02至09，最终10。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参考判断：结合年龄及病程评估AD，不能计算系统药体重剂量或套成人强效大面积外用方案。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3岁患儿肘窝反复湿疹，未提供本次实测体重及系统药医嘱。结合年龄及病程评估AD，不能计算系统药体重剂量或套成人强效大面积外用方案。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49" w:name="b249"/>
      <w:pPr>
        <w:pStyle w:val="Heading2"/>
      </w:pPr>
      <w:r>
        <w:t>T32 梅毒检验分期</w:t>
      </w:r>
      <w:bookmarkEnd w:id="24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虚构输入：TEST032/E01；TPPA阳性、RPR1:4，既往治疗史及感染时长不明，今日未检查皮损。最小路由：01＋11＋108，按任务加02至09，最终10。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参考判断：不能单凭血清学认定新近二期梅毒；需核既往治疗历次滴度和临床分期证据。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检验分析记录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TPPA阳性、RPR1:4，既往治疗史及感染时长不明，今日未检查皮损。不能单凭血清学认定新近二期梅毒；需核既往治疗历次滴度和临床分期证据。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55" w:name="b255"/>
      <w:pPr>
        <w:pStyle w:val="Heading2"/>
      </w:pPr>
      <w:r>
        <w:t>T33 生殖器皮损隐私</w:t>
      </w:r>
      <w:bookmarkEnd w:id="25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虚构输入：TEST033/E01；患者自述生殖器瘙痒红斑，尚未同意或完成查体；未提供接触史。最小路由：01＋11＋108，按任务加02至09，最终10。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参考判断：仅记录自述及待查，不能写生殖器查体正常、已确诊性病或推断性接触与性取向。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病程草稿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患者自述生殖器瘙痒红斑，尚未同意或完成查体；未提供接触史。仅记录自述及待查，不能写生殖器查体正常、已确诊性病或推断性接触与性取向。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61" w:name="b261"/>
      <w:pPr>
        <w:pStyle w:val="Heading2"/>
      </w:pPr>
      <w:r>
        <w:t>T34 多部位皮损动态</w:t>
      </w:r>
      <w:bookmarkEnd w:id="26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虚构输入：TEST034/E01；L01左手今日实查红斑减轻；L02右小腿今日新增丘疹，两处均有独立记录。最小路由：01＋11＋101，按任务加02至09，最终10。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参考判断：分别记录L01减轻和L02新发，不能汇总为全身皮疹好转。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L01左手今日实查红斑减轻；L02右小腿今日新增丘疹，两处均有独立记录。分别记录L01减轻和L02新发，不能汇总为全身皮疹好转。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67" w:name="b267"/>
      <w:pPr>
        <w:pStyle w:val="Heading2"/>
      </w:pPr>
      <w:r>
        <w:t>T35 不同部位病理归属</w:t>
      </w:r>
      <w:bookmarkEnd w:id="26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虚构输入：TEST035/E01；S01左前臂L01报告湿疹样改变，S02右小腿L02报告血管炎样改变。最小路由：01＋11＋104，按任务加02至09，最终10。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参考判断：每份病理分别归属相应病灶，不能用S01覆盖右小腿或用S02确诊全部皮损血管炎。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病理分析记录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S01左前臂L01报告湿疹样改变，S02右小腿L02报告血管炎样改变。每份病理分别归属相应病灶，不能用S01覆盖右小腿或用S02确诊全部皮损血管炎。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73" w:name="b273"/>
      <w:pPr>
        <w:pStyle w:val="Heading2"/>
      </w:pPr>
      <w:r>
        <w:t>T36 旧照片与今日查体不一致</w:t>
      </w:r>
      <w:bookmarkEnd w:id="27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虚构输入：TEST036/E01；10月28日照片右前臂渗出，10月30日医生实查该处干燥鳞屑。最小路由：01＋11＋101，按任务加02至09，最终10。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参考判断：今日记录干燥鳞屑，历史渗出可按10月28日照片注明，不能将旧渗出作为今日查体。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10月28日照片右前臂渗出，10月30日医生实查该处干燥鳞屑。今日记录干燥鳞屑，历史渗出可按10月28日照片注明，不能将旧渗出作为今日查体。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79" w:name="b279"/>
      <w:pPr>
        <w:pStyle w:val="Heading2"/>
      </w:pPr>
      <w:r>
        <w:t>T37 光疗激光参数缺失</w:t>
      </w:r>
      <w:bookmarkEnd w:id="27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虚构输入：TEST037/E01；医师记录今日已行一次NB UVB和一次激光，设备参数剂量未提供。最小路由：01＋11＋05，按任务加02至09，最终10。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参考判断：可以整理已记载治疗事实，完整操作记录须核真实参数，不借前次剂量或自行估算。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治疗资料核对记录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医师记录今日已行一次NB UVB和一次激光，设备参数剂量未提供。可以整理已记载治疗事实，完整操作记录须核真实参数，不借前次剂量或自行估算。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85" w:name="b285"/>
      <w:pPr>
        <w:pStyle w:val="Heading2"/>
      </w:pPr>
      <w:r>
        <w:t>T38 药物停复停用更新</w:t>
      </w:r>
      <w:bookmarkEnd w:id="28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虚构输入：TEST038/E01；药A10月27日暂停，28日医师决定恢复且有当日给药执行，29日停用，30日无给药。最小路由：01＋11＋07，按任务加02至09，最终10。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参考判断：今日状态为停用，保留28日真实执行，不能自动恢复或纳入出院续药。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药A10月27日暂停，28日医师决定恢复且有当日给药执行，29日停用，30日无给药。今日状态为停用，保留28日真实执行，不能自动恢复或纳入出院续药。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91" w:name="b291"/>
      <w:pPr>
        <w:pStyle w:val="Heading2"/>
      </w:pPr>
      <w:r>
        <w:t>T39 三级查房差异化</w:t>
      </w:r>
      <w:bookmarkEnd w:id="29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039/E01；右前臂湿疹样皮炎今日红斑较稳定，已实际执行保湿，P01穿刺活检已完成且S01送HE待回；测试甲主治意见核执行，测试乙副主任意见复核感染鉴别，测试丙主任意见待病理后再定长期策略。最小路由：01＋11＋08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参考判断：分别形成三份真实层级意见，不能把主治核执行写主任已决定免疫升级。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测试甲主治医师查房记录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今日随测试甲主治医师查房，患者右前臂湿疹样皮炎红斑较稳定，目前已实际执行保湿治疗。主治医师提出核对外用执行并继续观察新发皮损和渗出，当前未提供新的检验及系统用药执行记录。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09:30 测试乙副主任医师查房记录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测试乙副主任医师查房，右前臂红斑较稳定，保湿已执行。副主任医师提出复核湿疹样皮炎与感染的鉴别，目前尚无确证感染的病原证据，应结合后续检查及临床变化评估，不能仅因皮疹存在自动添加抗感染治疗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10:00 测试丙主任医师查房记录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测试丙主任医师查房，右前臂红斑较稳定，当前诊断为湿疹样皮炎，病理结果尚待回报。主任医师提出待病理与临床整合后再确定长期策略，现不作系统免疫治疗升级决定，后续需复核诊断及疗效安全证据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299" w:name="b299"/>
      <w:pPr>
        <w:pStyle w:val="Heading2"/>
      </w:pPr>
      <w:r>
        <w:t>T40 出院前出院记录格式</w:t>
      </w:r>
      <w:bookmarkEnd w:id="29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TEST040/E01；10月20日因右前臂皮肤肿物入院，29日完成P01切取活检，S01病理待回；30日创面干燥无渗血，测试甲主治已批准出院；带药为保湿霜完整皮肤每日2次并避开切口；11月2日皮肤外科复诊，测试甲负责追踪病理。最小路由：01＋11＋09，按任务加02至09，最终10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参考判断：出院诊断为右前臂皮肤肿物性质待查，按真实带药及复诊方案交接，S01病理由测试甲追踪，不能默认良性。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参考输出如下；T33、T37资料不足时为核对或草稿，不能作完整已签净稿。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出院记录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入院及出院日期：2026年10月20日入院，10月30日出院。</w:t>
        <w:br/>
        <w:t>入院情况及诊断：右前臂皮肤肿物，性质待查。</w:t>
        <w:br/>
        <w:t>诊疗经过：10月29日完成P01切取活检，标本S01送病理，出院时尚未回报。</w:t>
        <w:br/>
        <w:t>出院诊断：右前臂皮肤肿物性质待查。</w:t>
        <w:br/>
        <w:t>出院情况：今日创面干燥无渗血，经测试甲主治医师评估批准出院。</w:t>
        <w:br/>
        <w:t>出院医嘱：保湿霜于完整皮肤每日2次，避开切口；11月2日皮肤外科复诊，测试甲负责追踪S01病理。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08:30 测试甲主治医师出院前查房记录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测试甲主治医师查房，患者因右前臂皮肤肿物入院，10月29日完成P01切取活检，S01病理尚未回报。今日创面干燥无渗血，经主治医师评估准予出院，出院诊断保留皮肤肿物性质待查，按已确认方案使用保湿霜于完整皮肤并避开切口，11月2日皮肤外科复诊，病理由测试甲负责追踪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出院医嘱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用药及护理：保湿霜涂于完整皮肤，每日2次，避开切口。</w:t>
        <w:br/>
        <w:t>复诊：2026年11月2日皮肤外科复诊，评估创面并查看病理。</w:t>
        <w:br/>
        <w:t>待回结果：S01病理由测试甲主治医师负责追踪并复核诊断。</w:t>
        <w:br/>
        <w:t>警示：创面出血持续、红肿疼痛加重、脓性分泌物或发热时及时就诊。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13维审核结果：均符合参考规则；对应13个反向候选均拦截。真实性、病灶、证据与医疗合理性为人工规则复核，自动护栏只校验结构化状态与输出协议。</w:t>
      </w:r>
    </w:p>
    <w:p>
      <w:bookmarkStart w:id="307" w:name="b307"/>
      <w:pPr>
        <w:pStyle w:val="Heading1"/>
      </w:pPr>
      <w:r>
        <w:t>规则修订与回测记录</w:t>
      </w:r>
      <w:bookmarkEnd w:id="30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核验中发现2025皮肤鳞癌注册不能当发表，并检得2026正式期刊线索，已更新106及来源R17/R18；玫瑰痤疮2026仅核到注册，105保留2021正式依据。无明确验证的DOI与不对应链接已移除或纠正。标本归属、暂停恢复和输出护栏在当前版本回测通过；以后发现临床或逻辑缺陷须修改对应Word规则再重测，不能只换模拟输出。</w:t>
      </w:r>
    </w:p>
    <w:p>
      <w:bookmarkStart w:id="309" w:name="b309"/>
      <w:pPr>
        <w:pStyle w:val="Heading1"/>
      </w:pPr>
      <w:r>
        <w:t>真实性限制 常见错误与质控</w:t>
      </w:r>
      <w:bookmarkEnd w:id="30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逐项核对患者和本次住院、病灶部位侧别、资料可知时间、证据确定度、检查标本对应、药物和操作执行、当日复评及文书格式。关键冲突阻断净稿；非关键缺项可省略，不填写“未见异常”掩盖缺失。原文中的可能、考虑、倾向及不能排除保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常见错误：旧照片充当今日查体；皮肤镜怀疑当病理确诊；阳性培养当所有皮损病因；抗体阳性当全部确诊；拟治疗当已完成；术后默认创面好；未实际查房即代写上级意见。上述均触发修订来源和重新审查。</w:t>
      </w:r>
    </w:p>
    <w:p>
      <w:bookmarkStart w:id="312" w:name="b312"/>
      <w:pPr>
        <w:pStyle w:val="Heading1"/>
      </w:pPr>
      <w:r>
        <w:t>模块协同与版本维护</w:t>
      </w:r>
      <w:bookmarkEnd w:id="31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统一顺序为00识别→01约束→11核对状态→02至09按任务选用→101至108按疾病选用→10终审→合格后输出。多病共存分别论证；联合模块不得重复生成相互矛盾医嘱。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；编制及检索截止2026年10月30日。维护人由医院指定皮肤科、病理检验、药学和病案质控负责人；至少季度复查题录及当前说明书，重要安全信息或正式更新时立即修订。修订保留版本、变更条目、依据和受影响场景回测，不静默覆盖已签病历。</w:t>
      </w:r>
    </w:p>
    <w:p>
      <w:bookmarkStart w:id="315" w:name="b315"/>
      <w:pPr>
        <w:pStyle w:val="Heading1"/>
      </w:pPr>
      <w:r>
        <w:t>参考指南及核验范围</w:t>
      </w:r>
      <w:bookmarkEnd w:id="31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仅记录本次实际可获得范围。正式发表、注册、题录摘要、可读全文、未核原文分开；未完整核验的条款、推荐等级、药物剂量、批准年龄及院内SOP均不补造。引用不表示本库已获临床认证；检索未见更新不等于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R01 病历书写基本规范。发布机构：原卫生部；年份或版本：2010；适用：住院文书结构及完成时限；核验日期：2026-10-30。核验结果：官方正文可见；未发现本次检索范围内替代文件，不宣称穷尽检索。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https:/​/​www.nhc.gov.cn/​wjw/​gfxwj/​201002/​79d42b9c8b3f47ee91000d31de116784.shtml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R02 医疗质量安全核心制度要点。发布机构：国家卫生健康委员会；年份或版本：2018；适用：查房、疑难讨论、抢救与手术安全；核验日期：2026-10-30。核验结果：官方解读及发布信息可见；院内具体频次须结合有效制度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https:/​/​www.nhc.gov.cn/​zwgk/​jdjd/​201804/​5dfb30387c74412194c7f05b878d4f87.shtml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R03 电子病历应用管理规范（试行）。发布机构：原国家卫生计生委及国家中医药管理局；年份或版本：2017；适用：电子病历身份、修改留痕和授权；核验日期：2026-10-30。核验结果：官方正文可见。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https:/​/​www.nhc.gov.cn/​wjw/​c100175/​201702/​90f3de8ae03d488cbddf509dc958f75b.shtml</w:t>
      </w:r>
    </w:p>
    <w:p>
      <w:bookmarkStart w:id="323" w:name="b323"/>
      <w:pPr>
        <w:pStyle w:val="Heading1"/>
      </w:pPr>
      <w:r>
        <w:t>虚构病例示例</w:t>
      </w:r>
      <w:bookmarkEnd w:id="32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以下病例完全虚构，仅供规则演示，不得导入真实病例。患者TEST10、住院E01，日期2026年10月30日，事实限定如下。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核对结果 非正式病历：同批资料中一份病理患者标识与当前住院不一致，存在严重身份归属冲突。应先隔离该报告并核实患者、住院和标本对应，当前暂停受影响的正式诊断及手术后病程净稿；不得投票选择多数资料或借模板补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皮肤科AI病历书写系统 V1.0  |  模块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10_皮肤科病历最终质控诊断修正及时间轴一致性审查库</dc:title>
  <dc:subject>皮肤科医学文书规则与模板</dc:subject>
  <dc:creator>皮肤科AI病历规则库</dc:creator>
  <cp:keywords>V1.0 2026-10-30 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