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/>
      </w:pPr>
      <w:r>
        <w:rPr>
          <w:rFonts w:ascii="Arial" w:hAnsi="Arial" w:eastAsia="宋体"/>
          <w:b/>
          <w:color w:val="000000"/>
          <w:sz w:val="44"/>
        </w:rPr>
        <w:t>11 皮肤科AI自动调用路由与病例状态管理规则库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皮肤科AI病历书写系统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文件编号 11    所属层级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用途 真实病例文书辅助拟稿 连续记录及医师质控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责任边界 本规则库不替代实际诊断 治疗 操作 知情同意及医师签名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本模块涵盖AI自动调用路由与病例状态管理规则库。使用时先核患者及本次住院、真实证据与执行状态，再按任务读取相关章节。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指南核验范围和测试边界均在正文列明；模板变量和虚构病例不得复制进真实病历。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b0">
        <w:r>
          <w:rPr>
            <w:sz w:val="20"/>
          </w:rPr>
          <w:t>模块使用说明</w:t>
        </w:r>
      </w:hyperlink>
    </w:p>
    <w:p>
      <w:pPr>
        <w:spacing w:after="40"/>
        <w:ind w:left="0"/>
      </w:pPr>
      <w:hyperlink w:anchor="b4">
        <w:r>
          <w:rPr>
            <w:sz w:val="20"/>
          </w:rPr>
          <w:t>正式医学文书输出规范</w:t>
        </w:r>
      </w:hyperlink>
    </w:p>
    <w:p>
      <w:pPr>
        <w:spacing w:after="40"/>
        <w:ind w:left="0"/>
      </w:pPr>
      <w:hyperlink w:anchor="b7">
        <w:r>
          <w:rPr>
            <w:sz w:val="20"/>
          </w:rPr>
          <w:t>字段包装与独立状态域</w:t>
        </w:r>
      </w:hyperlink>
    </w:p>
    <w:p>
      <w:pPr>
        <w:spacing w:after="40"/>
        <w:ind w:left="0"/>
      </w:pPr>
      <w:hyperlink w:anchor="b10">
        <w:r>
          <w:rPr>
            <w:sz w:val="20"/>
          </w:rPr>
          <w:t>事件迁移与时间轴</w:t>
        </w:r>
      </w:hyperlink>
    </w:p>
    <w:p>
      <w:pPr>
        <w:spacing w:after="40"/>
        <w:ind w:left="0"/>
      </w:pPr>
      <w:hyperlink w:anchor="b14">
        <w:r>
          <w:rPr>
            <w:sz w:val="20"/>
          </w:rPr>
          <w:t>15类自动识别行为</w:t>
        </w:r>
      </w:hyperlink>
    </w:p>
    <w:p>
      <w:pPr>
        <w:spacing w:after="40"/>
        <w:ind w:left="0"/>
      </w:pPr>
      <w:hyperlink w:anchor="b30">
        <w:r>
          <w:rPr>
            <w:sz w:val="20"/>
          </w:rPr>
          <w:t>路由执行伪代码</w:t>
        </w:r>
      </w:hyperlink>
    </w:p>
    <w:p>
      <w:pPr>
        <w:spacing w:after="40"/>
        <w:ind w:left="0"/>
      </w:pPr>
      <w:hyperlink w:anchor="b33">
        <w:r>
          <w:rPr>
            <w:sz w:val="20"/>
          </w:rPr>
          <w:t>真实性限制 常见错误与质控</w:t>
        </w:r>
      </w:hyperlink>
    </w:p>
    <w:p>
      <w:pPr>
        <w:spacing w:after="40"/>
        <w:ind w:left="0"/>
      </w:pPr>
      <w:hyperlink w:anchor="b36">
        <w:r>
          <w:rPr>
            <w:sz w:val="20"/>
          </w:rPr>
          <w:t>模块协同与版本维护</w:t>
        </w:r>
      </w:hyperlink>
    </w:p>
    <w:p>
      <w:pPr>
        <w:spacing w:after="40"/>
        <w:ind w:left="0"/>
      </w:pPr>
      <w:hyperlink w:anchor="b39">
        <w:r>
          <w:rPr>
            <w:sz w:val="20"/>
          </w:rPr>
          <w:t>参考指南及核验范围</w:t>
        </w:r>
      </w:hyperlink>
    </w:p>
    <w:p>
      <w:pPr>
        <w:spacing w:after="40"/>
        <w:ind w:left="0"/>
      </w:pPr>
      <w:hyperlink w:anchor="b45">
        <w:r>
          <w:rPr>
            <w:sz w:val="20"/>
          </w:rPr>
          <w:t>虚构病例示例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模块使用说明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功能定位：病例状态更新与最小模块路由。本库服务中国医院普通皮肤病房、重症、皮肤外科、治疗室及皮肤性病临床，由具有权限的医师审核拟稿。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适用场景与自动调用：新患者切换跨日、多灶多次活检和治疗、停复与出院。必要患者资料：带患者住院病灶主键的旧状态及本次真实新增或纠正。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必须绑定patient_id、encounter_id、lesion_id及适用的procedure_id/specimen_id，附事件时间、记录时间、来源及核验状态。患者自述、医师实查、普通照片可见内容、真实皮肤镜、病原学、组织病理、免疫荧光、自身抗体和临床综合判断分别保存。医学知识不是患者事实；未知不等于阴性；既往查体不等于今日查体。建议、拟定、已开医嘱、已执行、暂停、停用、恢复和取消分离。不得补造身份、皮损、触诊、评分、检查、操作参数、药量、疗效、并发症、沟通、到场查房或签名。</w:t>
      </w:r>
    </w:p>
    <w:p>
      <w:bookmarkStart w:id="4" w:name="b4"/>
      <w:pPr>
        <w:pStyle w:val="Heading1"/>
      </w:pPr>
      <w:r>
        <w:t>正式医学文书输出规范</w:t>
      </w:r>
      <w:bookmarkEnd w:id="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所有正式医学文书正文使用Markdown text代码框。文书日期、时间、标题及医师姓名和职称组成的查房标题均位于代码框外；代码框内只放实际医学文书正文，不重复题头日期标题，不加AI前言、推理过程或无关备注。日常病程及主治、副主任、主任查房正文连续写成完整一整段，不分条、不留空行、不插入多余空格，不因格式遗漏必要内容。入院、首次病程、手术、讨论、抢救和出院等有固定栏目要求的文书可保留必要结构。抢救及用药等临床事件时间属于事实，须在正文保留。正式文书不得出现未替换占位符；关键事实缺失须在框外提示核实并阻断受影响的净稿。禁止出现“根据昨天的病程”“结合前一天的检查”“根据用户上传的图片”“AI分析认为”；历史检查直接注明真实检查日期。本库【字段】均为编写模板变量，虚构病例仅供测试，二者不得导入真实患者事实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运行边界：这是可供AI读取的Word规则库，未连接医院电子病历、患者数据库或后台调度。自动调用是执行协议，须实际读取相应模块；不声称跨会话保存病历。不代替现场诊断、处方、操作授权、实际知情同意或医师签名。</w:t>
      </w:r>
    </w:p>
    <w:p>
      <w:bookmarkStart w:id="7" w:name="b7"/>
      <w:pPr>
        <w:pStyle w:val="Heading1"/>
      </w:pPr>
      <w:r>
        <w:t>字段包装与独立状态域</w:t>
      </w:r>
      <w:bookmarkEnd w:id="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每个事实包装为value、unit、patient_id、encounter_id、lesion_id、procedure_id、specimen_id、event_time、available_at、recorded_at、source_id、source_type、author、verification、supersedes。0不能代表未知。unknown、not_provided、not_examined、pending_verification、pending_result、confirmed_negative、positive、not_applicable、conflict必须区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4176"/>
      </w:tblGrid>
      <w:tr>
        <w:trPr>
          <w:tblHeader/>
        </w:trPr>
        <w:tc>
          <w:tcPr>
            <w:tcW w:type="dxa" w:w="1800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状态域</w:t>
            </w:r>
          </w:p>
        </w:tc>
        <w:tc>
          <w:tcPr>
            <w:tcW w:type="dxa" w:w="3816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4176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隔离规则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身份住院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患者双标识、住院次、入出院与当前文书时点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新患者完全隔离，新住院保留来源引用旧史而非继承现症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诊断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初诊、待排、证据、当前确定度及历史版本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新报告可修正当前，过去可知信息不能被未来结果改写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病灶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L编号、起病部位侧别数量大小形态分布和动态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不同部位或性质病灶分别存，不能一个查体覆盖所有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照片皮肤镜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图像ID拍摄或检查时点、部位、设备类型和覆盖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旧图不变今日；普通照与镜图类型锁定，不重复认同一次检查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标本病理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S编号、取材L/P、部位、容器、HE/DIF或病原、报告版本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一病灶可多标本；一报告多部分分别归属；缺映射先核对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其他检查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项目方法采样回报、单位参考范围及状态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拟查、已取样待回、已回、补充回报分开；不默认顺序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药物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具体药品途径部位剂量频次疗程、开始停变和各次执行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处方不等给药，恢复不是取消历史停药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皮肤治疗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P编号、光疗激光冷冻等设备参数和实际次数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每次独立，缺一场参数不得借上场补齐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外科操作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拟活检、已活检、待病理、拟切、已切、修复、换药、拆线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病理和愈合是独立状态，不以手术完成自动推进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危急状态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快速扩展黏膜、严重药疹、感染和器官证据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疑似确认恢复分开；信息不足不延误现场处置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医师与沟通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真实到场意见、知情和会诊申请及实施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不可由任务标题自动认到场或沟通完成</w:t>
            </w:r>
          </w:p>
        </w:tc>
      </w:tr>
      <w:tr>
        <w:tc>
          <w:tcPr>
            <w:tcW w:type="dxa" w:w="1800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出院随访</w:t>
            </w:r>
          </w:p>
        </w:tc>
        <w:tc>
          <w:tcPr>
            <w:tcW w:type="dxa" w:w="381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最终诊断、带药、创面、待回结果及责任安排</w:t>
            </w:r>
          </w:p>
        </w:tc>
        <w:tc>
          <w:tcPr>
            <w:tcW w:type="dxa" w:w="4176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出院不自动停止所有药或结束肿瘤病理追踪</w:t>
            </w:r>
          </w:p>
        </w:tc>
      </w:tr>
    </w:tbl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</w:r>
    </w:p>
    <w:p>
      <w:bookmarkStart w:id="10" w:name="b10"/>
      <w:pPr>
        <w:pStyle w:val="Heading1"/>
      </w:pPr>
      <w:r>
        <w:t>事件迁移与时间轴</w:t>
      </w:r>
      <w:bookmarkEnd w:id="1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操作拟定planned→准备prepared→开始started→完成completed，任何前期可取消cancelled；完成后复查或再治疗新建P。病理从实际取材进入pending_result，报告到达后有reported/amended等版本。药物有ordered与逐次administration，并可paused/stopped/resumed/declined；resumed医嘱不等恢复首剂已执行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主时间轴：发病→皮损发展→初诊→初步诊断→采样病理病原→回报及修正→真实治疗→皮损变化→调整→恢复复发→出院随访。重症药疹另逐药暴露开始末次停药与发疹黏膜器官时间；外科另拟术实际术切口换药拆线与病理；生物制剂另筛查决定首剂后续剂疗效不良反应停变。它们可以并行，不强迫病理先于手术或拆线先于回报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只允许available_at不晚于目标文书时点的事实进入当时分析。事件发生、采样、回报和补记时间各自保存。日期按Asia/Shanghai；术后日依核实的院内登记日期与本次目标日期分别计算，同日0日，跨午夜归日不明核对或写距真实结束时长，拟术不能计算术后日。</w:t>
      </w:r>
    </w:p>
    <w:p>
      <w:bookmarkStart w:id="14" w:name="b14"/>
      <w:pPr>
        <w:pStyle w:val="Heading1"/>
      </w:pPr>
      <w:r>
        <w:t>15类自动识别行为</w:t>
      </w:r>
      <w:bookmarkEnd w:id="1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新患者或切换：核双标识，清空不相关活动上下文，隔离异身份附件。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同患者新住院：新encounter_id，不继承旧查体、操作执行、药物当前状态。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多处皮损：每处L独立，合并或拆分仅有医师依据时留映射。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不同部位活检：L→P→S→报告多对多按明确分部，不按文件上传先后配对。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不同日期照片：保留拍摄时间，不用上传日期代拍摄时间。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动态变化：相同L、来源方法覆盖可比才比较，新增皮损不抹去旧灶。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病理逐步回报：初步正式补充各留时间与版本，HE与DIF可独立回报。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诊断修正：保留旧判断及当时依据，当前新建版本并解释原因。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药物调整：按医师决定更新版本，给药执行不凭医嘱推。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生物制剂停复：每针独立，漏针及重启方案须医师确认。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多次光疗激光：每次P和参数，计划次数与实际次数分开。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术前术后：必须有实际完成证据后才转术后状态。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危急事件：先提醒现场，后据实整理，评分缺项不阻止救治。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出院：核对诊断带药未决问题与责任，不能自动关闭待回病理。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随访：新时点独立实查，不用出院状态当门诊今日状态。</w:t>
      </w:r>
    </w:p>
    <w:p>
      <w:bookmarkStart w:id="30" w:name="b30"/>
      <w:pPr>
        <w:pStyle w:val="Heading1"/>
      </w:pPr>
      <w:r>
        <w:t>路由执行伪代码</w:t>
      </w:r>
      <w:bookmarkEnd w:id="3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READ 00,01,11 → resolve_identity → quarantine_mismatch → bind_each_fact → check_available_time → append_event_and_revision → if urgent then prompt_on_site_now → choose_required_modules → verify_modules_read → compose_candidate → QC_10 → if critical_conflict then output_verification_outside_fence else output_title_then_text_fence。该伪代码是本库执行契约，非已经部署的后台程序。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488"/>
      </w:tblGrid>
      <w:tr>
        <w:trPr>
          <w:tblHeader/>
        </w:trPr>
        <w:tc>
          <w:tcPr>
            <w:tcW w:type="dxa" w:w="2304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触发词或任务</w:t>
            </w:r>
          </w:p>
        </w:tc>
        <w:tc>
          <w:tcPr>
            <w:tcW w:type="dxa" w:w="7488"/>
            <w:shd w:fill="E8EDF2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/>
                <w:color w:val="000000"/>
                <w:sz w:val="20"/>
              </w:rPr>
              <w:t>选用模块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新入院首次病程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02 03，报告04，相关专病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照片皮肤镜病理病原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03 04，按问题专病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拟已操作或术后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02 05，病理04，相关专病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药物开始停复或靶向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07，主病专病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急变抢救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02 03 04 06 07按实际资料，相关专病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各级查房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02 08及所需03至07，相关专病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护理出院随访</w:t>
            </w:r>
          </w:p>
        </w:tc>
        <w:tc>
          <w:tcPr>
            <w:tcW w:type="dxa" w:w="7488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line="264" w:lineRule="auto"/>
            </w:pPr>
            <w:r>
              <w:rPr>
                <w:rFonts w:ascii="Arial" w:hAnsi="Arial" w:eastAsia="宋体"/>
                <w:b w:val="0"/>
                <w:color w:val="000000"/>
                <w:sz w:val="20"/>
              </w:rPr>
              <w:t>02 07 09及相关专病</w:t>
            </w:r>
          </w:p>
        </w:tc>
      </w:tr>
    </w:tbl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</w:r>
    </w:p>
    <w:p>
      <w:bookmarkStart w:id="33" w:name="b33"/>
      <w:pPr>
        <w:pStyle w:val="Heading1"/>
      </w:pPr>
      <w:r>
        <w:t>真实性限制 常见错误与质控</w:t>
      </w:r>
      <w:bookmarkEnd w:id="3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逐项核对患者和本次住院、病灶部位侧别、资料可知时间、证据确定度、检查标本对应、药物和操作执行、当日复评及文书格式。关键冲突阻断净稿；非关键缺项可省略，不填写“未见异常”掩盖缺失。原文中的可能、考虑、倾向及不能排除保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常见错误：旧照片充当今日查体；皮肤镜怀疑当病理确诊；阳性培养当所有皮损病因；抗体阳性当全部确诊；拟治疗当已完成；术后默认创面好；未实际查房即代写上级意见。上述均触发修订来源和重新审查。</w:t>
      </w:r>
    </w:p>
    <w:p>
      <w:bookmarkStart w:id="36" w:name="b36"/>
      <w:pPr>
        <w:pStyle w:val="Heading1"/>
      </w:pPr>
      <w:r>
        <w:t>模块协同与版本维护</w:t>
      </w:r>
      <w:bookmarkEnd w:id="3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统一顺序为00识别→01约束→11核对状态→02至09按任务选用→101至108按疾病选用→10终审→合格后输出。多病共存分别论证；联合模块不得重复生成相互矛盾医嘱。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；编制及检索截止2026年10月30日。维护人由医院指定皮肤科、病理检验、药学和病案质控负责人；至少季度复查题录及当前说明书，重要安全信息或正式更新时立即修订。修订保留版本、变更条目、依据和受影响场景回测，不静默覆盖已签病历。</w:t>
      </w:r>
    </w:p>
    <w:p>
      <w:bookmarkStart w:id="39" w:name="b39"/>
      <w:pPr>
        <w:pStyle w:val="Heading1"/>
      </w:pPr>
      <w:r>
        <w:t>参考指南及核验范围</w:t>
      </w:r>
      <w:bookmarkEnd w:id="3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仅记录本次实际可获得范围。正式发表、注册、题录摘要、可读全文、未核原文分开；未完整核验的条款、推荐等级、药物剂量、批准年龄及院内SOP均不补造。引用不表示本库已获临床认证；检索未见更新不等于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R01 病历书写基本规范。发布机构：原卫生部；年份或版本：2010；适用：住院文书结构及完成时限；核验日期：2026-10-30。核验结果：官方正文可见；未发现本次检索范围内替代文件，不宣称穷尽检索。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https:/​/​www.nhc.gov.cn/​wjw/​gfxwj/​201002/​79d42b9c8b3f47ee91000d31de116784.shtml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R03 电子病历应用管理规范（试行）。发布机构：原国家卫生计生委及国家中医药管理局；年份或版本：2017；适用：电子病历身份、修改留痕和授权；核验日期：2026-10-30。核验结果：官方正文可见。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https:/​/​www.nhc.gov.cn/​wjw/​c100175/​201702/​90f3de8ae03d488cbddf509dc958f75b.shtml</w:t>
      </w:r>
    </w:p>
    <w:p>
      <w:bookmarkStart w:id="45" w:name="b45"/>
      <w:pPr>
        <w:pStyle w:val="Heading1"/>
      </w:pPr>
      <w:r>
        <w:t>虚构病例示例</w:t>
      </w:r>
      <w:bookmarkEnd w:id="4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以下病例完全虚构，仅供规则演示，不得导入真实病例。患者TEST11、住院E01，日期2026年10月30日，事实限定如下。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同一患者左前臂L01取材S01、右小腿L02取材S02，今日仅S01病理回报湿疹样改变。该结果只能归属L01，L02仍待回报，不能据此将右小腿病变同样确诊为湿疹；后续需按各自标本和真实日期分别复核。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皮肤科AI病历书写系统 V1.0  |  模块 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11_皮肤科AI自动调用路由与病例状态管理规则库</dc:title>
  <dc:subject>皮肤科医学文书规则与模板</dc:subject>
  <dc:creator>皮肤科AI病历规则库</dc:creator>
  <cp:keywords>V1.0 2026-10-30 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