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03 妇产科专科检查</w:t>
        <w:br/>
        <w:t>孕周胎位及母胎状态评估模板库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03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妇科症状采集的差异化问题</w:t>
        </w:r>
      </w:hyperlink>
    </w:p>
    <w:p>
      <w:pPr>
        <w:spacing w:before="0" w:after="20" w:line="260" w:lineRule="exact"/>
        <w:ind w:left="216"/>
      </w:pPr>
      <w:hyperlink w:anchor="b8">
        <w:r>
          <w:rPr>
            <w:color w:val="000000"/>
            <w:sz w:val="20"/>
          </w:rPr>
          <w:t>下腹痛</w:t>
        </w:r>
      </w:hyperlink>
    </w:p>
    <w:p>
      <w:pPr>
        <w:spacing w:before="0" w:after="20" w:line="260" w:lineRule="exact"/>
        <w:ind w:left="216"/>
      </w:pPr>
      <w:hyperlink w:anchor="b10">
        <w:r>
          <w:rPr>
            <w:color w:val="000000"/>
            <w:sz w:val="20"/>
          </w:rPr>
          <w:t>阴道异常流血</w:t>
        </w:r>
      </w:hyperlink>
    </w:p>
    <w:p>
      <w:pPr>
        <w:spacing w:before="0" w:after="20" w:line="260" w:lineRule="exact"/>
        <w:ind w:left="216"/>
      </w:pPr>
      <w:hyperlink w:anchor="b12">
        <w:r>
          <w:rPr>
            <w:color w:val="000000"/>
            <w:sz w:val="20"/>
          </w:rPr>
          <w:t>月经量及周期异常</w:t>
        </w:r>
      </w:hyperlink>
    </w:p>
    <w:p>
      <w:pPr>
        <w:spacing w:before="0" w:after="20" w:line="260" w:lineRule="exact"/>
        <w:ind w:left="216"/>
      </w:pPr>
      <w:hyperlink w:anchor="b14">
        <w:r>
          <w:rPr>
            <w:color w:val="000000"/>
            <w:sz w:val="20"/>
          </w:rPr>
          <w:t>痛经</w:t>
        </w:r>
      </w:hyperlink>
    </w:p>
    <w:p>
      <w:pPr>
        <w:spacing w:before="0" w:after="20" w:line="260" w:lineRule="exact"/>
        <w:ind w:left="216"/>
      </w:pPr>
      <w:hyperlink w:anchor="b16">
        <w:r>
          <w:rPr>
            <w:color w:val="000000"/>
            <w:sz w:val="20"/>
          </w:rPr>
          <w:t>闭经</w:t>
        </w:r>
      </w:hyperlink>
    </w:p>
    <w:p>
      <w:pPr>
        <w:spacing w:before="0" w:after="20" w:line="260" w:lineRule="exact"/>
        <w:ind w:left="216"/>
      </w:pPr>
      <w:hyperlink w:anchor="b18">
        <w:r>
          <w:rPr>
            <w:color w:val="000000"/>
            <w:sz w:val="20"/>
          </w:rPr>
          <w:t>阴道分泌物异常</w:t>
        </w:r>
      </w:hyperlink>
    </w:p>
    <w:p>
      <w:pPr>
        <w:spacing w:before="0" w:after="20" w:line="260" w:lineRule="exact"/>
        <w:ind w:left="216"/>
      </w:pPr>
      <w:hyperlink w:anchor="b20">
        <w:r>
          <w:rPr>
            <w:color w:val="000000"/>
            <w:sz w:val="20"/>
          </w:rPr>
          <w:t>外阴瘙痒及疼痛</w:t>
        </w:r>
      </w:hyperlink>
    </w:p>
    <w:p>
      <w:pPr>
        <w:spacing w:before="0" w:after="20" w:line="260" w:lineRule="exact"/>
        <w:ind w:left="216"/>
      </w:pPr>
      <w:hyperlink w:anchor="b22">
        <w:r>
          <w:rPr>
            <w:color w:val="000000"/>
            <w:sz w:val="20"/>
          </w:rPr>
          <w:t>盆腔包块相关症状</w:t>
        </w:r>
      </w:hyperlink>
    </w:p>
    <w:p>
      <w:pPr>
        <w:spacing w:before="0" w:after="20" w:line="260" w:lineRule="exact"/>
        <w:ind w:left="216"/>
      </w:pPr>
      <w:hyperlink w:anchor="b24">
        <w:r>
          <w:rPr>
            <w:color w:val="000000"/>
            <w:sz w:val="20"/>
          </w:rPr>
          <w:t>慢性盆腔痛</w:t>
        </w:r>
      </w:hyperlink>
    </w:p>
    <w:p>
      <w:pPr>
        <w:spacing w:before="0" w:after="20" w:line="260" w:lineRule="exact"/>
        <w:ind w:left="216"/>
      </w:pPr>
      <w:hyperlink w:anchor="b26">
        <w:r>
          <w:rPr>
            <w:color w:val="000000"/>
            <w:sz w:val="20"/>
          </w:rPr>
          <w:t>性交痛</w:t>
        </w:r>
      </w:hyperlink>
    </w:p>
    <w:p>
      <w:pPr>
        <w:spacing w:before="0" w:after="20" w:line="260" w:lineRule="exact"/>
        <w:ind w:left="216"/>
      </w:pPr>
      <w:hyperlink w:anchor="b28">
        <w:r>
          <w:rPr>
            <w:color w:val="000000"/>
            <w:sz w:val="20"/>
          </w:rPr>
          <w:t>不孕症相关病史</w:t>
        </w:r>
      </w:hyperlink>
    </w:p>
    <w:p>
      <w:pPr>
        <w:spacing w:before="0" w:after="20" w:line="260" w:lineRule="exact"/>
        <w:ind w:left="216"/>
      </w:pPr>
      <w:hyperlink w:anchor="b30">
        <w:r>
          <w:rPr>
            <w:color w:val="000000"/>
            <w:sz w:val="20"/>
          </w:rPr>
          <w:t>排尿异常</w:t>
        </w:r>
      </w:hyperlink>
    </w:p>
    <w:p>
      <w:pPr>
        <w:spacing w:before="0" w:after="20" w:line="260" w:lineRule="exact"/>
        <w:ind w:left="216"/>
      </w:pPr>
      <w:hyperlink w:anchor="b32">
        <w:r>
          <w:rPr>
            <w:color w:val="000000"/>
            <w:sz w:val="20"/>
          </w:rPr>
          <w:t>盆底功能障碍症状</w:t>
        </w:r>
      </w:hyperlink>
    </w:p>
    <w:p>
      <w:pPr>
        <w:spacing w:before="0" w:after="20" w:line="260" w:lineRule="exact"/>
        <w:ind w:left="0"/>
      </w:pPr>
      <w:hyperlink w:anchor="b34">
        <w:r>
          <w:rPr>
            <w:color w:val="000000"/>
            <w:sz w:val="20"/>
          </w:rPr>
          <w:t>妇科专科检查的实施与授权</w:t>
        </w:r>
      </w:hyperlink>
    </w:p>
    <w:p>
      <w:pPr>
        <w:spacing w:before="0" w:after="20" w:line="260" w:lineRule="exact"/>
        <w:ind w:left="0"/>
      </w:pPr>
      <w:hyperlink w:anchor="b37">
        <w:r>
          <w:rPr>
            <w:color w:val="000000"/>
            <w:sz w:val="20"/>
          </w:rPr>
          <w:t>孕产史与定孕算法</w:t>
        </w:r>
      </w:hyperlink>
    </w:p>
    <w:p>
      <w:pPr>
        <w:spacing w:before="0" w:after="20" w:line="260" w:lineRule="exact"/>
        <w:ind w:left="0"/>
      </w:pPr>
      <w:hyperlink w:anchor="b42">
        <w:r>
          <w:rPr>
            <w:color w:val="000000"/>
            <w:sz w:val="20"/>
          </w:rPr>
          <w:t>产科实查与母胎状态</w:t>
        </w:r>
      </w:hyperlink>
    </w:p>
    <w:p>
      <w:pPr>
        <w:spacing w:before="0" w:after="20" w:line="260" w:lineRule="exact"/>
        <w:ind w:left="0"/>
      </w:pPr>
      <w:hyperlink w:anchor="b45">
        <w:r>
          <w:rPr>
            <w:color w:val="000000"/>
            <w:sz w:val="20"/>
          </w:rPr>
          <w:t>多胎纵向身份与结果归属</w:t>
        </w:r>
      </w:hyperlink>
    </w:p>
    <w:p>
      <w:pPr>
        <w:spacing w:before="0" w:after="20" w:line="260" w:lineRule="exact"/>
        <w:ind w:left="0"/>
      </w:pPr>
      <w:hyperlink w:anchor="b47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52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55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58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功能定位：妇科实际查体与孕周胎位母胎双对象评估。适用中国医院妇科病房、产科高危病房、产房、手术及产褥随访；仅处理本模块相关任务。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自动调用条件：专科检查、定孕、高危、产程或多胎信息新增。必需资料：检查对象时间实施方法、孕周依据及检查授权。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按01输出协议和10终审执行。题头在text代码框外；日常病程及三级查房正文一整段。产程、手术、分娩和抢救保留必要结构与真实事件时间。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妇科症状采集的差异化问题</w:t>
      </w:r>
      <w:bookmarkEnd w:id="7"/>
    </w:p>
    <w:p>
      <w:bookmarkStart w:id="8" w:name="b8"/>
      <w:pPr>
        <w:pStyle w:val="Heading2"/>
      </w:pPr>
      <w:r>
        <w:t>下腹痛</w:t>
      </w:r>
      <w:bookmarkEnd w:id="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起点侧别持续或阵发、周期关系、发热流血及妊娠可能，急性痛先评估循环腹膜刺激。</w:t>
      </w:r>
    </w:p>
    <w:p>
      <w:bookmarkStart w:id="10" w:name="b10"/>
      <w:pPr>
        <w:pStyle w:val="Heading2"/>
      </w:pPr>
      <w:r>
        <w:t>阴道异常流血</w:t>
      </w:r>
      <w:bookmarkEnd w:id="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来源、起止、周期及绝经背景、量化方法、血块、贫血症状和用药。</w:t>
      </w:r>
    </w:p>
    <w:p>
      <w:bookmarkStart w:id="12" w:name="b12"/>
      <w:pPr>
        <w:pStyle w:val="Heading2"/>
      </w:pPr>
      <w:r>
        <w:t>月经量及周期异常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原有模式与本次改变，出血日记，初潮绝经及内分泌药物。</w:t>
      </w:r>
    </w:p>
    <w:p>
      <w:bookmarkStart w:id="14" w:name="b14"/>
      <w:pPr>
        <w:pStyle w:val="Heading2"/>
      </w:pPr>
      <w:r>
        <w:t>痛经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原发或继发线索、疼痛量表实际分值、进行性及排便性交症状。</w:t>
      </w:r>
    </w:p>
    <w:p>
      <w:bookmarkStart w:id="16" w:name="b16"/>
      <w:pPr>
        <w:pStyle w:val="Heading2"/>
      </w:pPr>
      <w:r>
        <w:t>闭经</w:t>
      </w:r>
      <w:bookmarkEnd w:id="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初潮年龄、末次自然月经、妊娠哺乳及体重压力运动和药物。</w:t>
      </w:r>
    </w:p>
    <w:p>
      <w:bookmarkStart w:id="18" w:name="b18"/>
      <w:pPr>
        <w:pStyle w:val="Heading2"/>
      </w:pPr>
      <w:r>
        <w:t>阴道分泌物异常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颜色气味稠度症状及取样前用药；外观不能单独定病原。</w:t>
      </w:r>
    </w:p>
    <w:p>
      <w:bookmarkStart w:id="20" w:name="b20"/>
      <w:pPr>
        <w:pStyle w:val="Heading2"/>
      </w:pPr>
      <w:r>
        <w:t>外阴瘙痒及疼痛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接触刺激、皮损、复发、代谢免疫背景，感染与皮肤病鉴别。</w:t>
      </w:r>
    </w:p>
    <w:p>
      <w:bookmarkStart w:id="22" w:name="b22"/>
      <w:pPr>
        <w:pStyle w:val="Heading2"/>
      </w:pPr>
      <w:r>
        <w:t>盆腔包块相关症状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腹胀压迫疼痛、变化、周期绝经及影像侧别。</w:t>
      </w:r>
    </w:p>
    <w:p>
      <w:bookmarkStart w:id="24" w:name="b24"/>
      <w:pPr>
        <w:pStyle w:val="Heading2"/>
      </w:pPr>
      <w:r>
        <w:t>慢性盆腔痛</w:t>
      </w:r>
      <w:bookmarkEnd w:id="2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时程、生活影响、周期排尿排便和肌骨心理相关因素，不能全归内异症。</w:t>
      </w:r>
    </w:p>
    <w:p>
      <w:bookmarkStart w:id="26" w:name="b26"/>
      <w:pPr>
        <w:pStyle w:val="Heading2"/>
      </w:pPr>
      <w:r>
        <w:t>性交痛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表浅或深部、发生条件、生育及盆底症状，敏感史限诊疗必要。</w:t>
      </w:r>
    </w:p>
    <w:p>
      <w:bookmarkStart w:id="28" w:name="b28"/>
      <w:pPr>
        <w:pStyle w:val="Heading2"/>
      </w:pPr>
      <w:r>
        <w:t>不孕症相关病史</w:t>
      </w:r>
      <w:bookmarkEnd w:id="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年龄、未避孕同房时长、双方评估及既往治疗，不默认女方唯一病因。</w:t>
      </w:r>
    </w:p>
    <w:p>
      <w:bookmarkStart w:id="30" w:name="b30"/>
      <w:pPr>
        <w:pStyle w:val="Heading2"/>
      </w:pPr>
      <w:r>
        <w:t>排尿异常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尿急频痛、漏尿诱因、排空障碍血尿和日记，尿失禁类型需证据。</w:t>
      </w:r>
    </w:p>
    <w:p>
      <w:bookmarkStart w:id="32" w:name="b32"/>
      <w:pPr>
        <w:pStyle w:val="Heading2"/>
      </w:pPr>
      <w:r>
        <w:t>盆底功能障碍症状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膨出、排尿排便、失禁、疼痛与性生活功能，主诉和评分分开。</w:t>
      </w:r>
    </w:p>
    <w:p>
      <w:bookmarkStart w:id="34" w:name="b34"/>
      <w:pPr>
        <w:pStyle w:val="Heading1"/>
      </w:pPr>
      <w:r>
        <w:t>妇科专科检查的实施与授权</w:t>
      </w:r>
      <w:bookmarkEnd w:id="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记录检查时间、检查者、范围及受限原因，按实际授权、隐私和院内陪检制度实施。外阴、窥器下阴道宫颈、双合诊子宫及左右附件分别登记；盆腔压痛和宫颈举痛必须有实际动作和所见。直肠阴道检查仅适用并已实施才记录。未查不能用“无异常”占位。儿童青少年及无适应证人群不能自动套双合诊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妇科专科检查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检查方法与实施范围：【实际】</w:t>
        <w:br/>
        <w:t>外阴阴道宫颈：【实际所见及出血来源】</w:t>
        <w:br/>
        <w:t>子宫：【位置大小质地活动压痛】</w:t>
        <w:br/>
        <w:t>附件：【左右分别、包块及压痛】</w:t>
        <w:br/>
        <w:t>其他：【实际完成的宫颈举痛、直肠阴道或POP Q等】</w:t>
        <w:br/>
        <w:t>受限项目：【真实原因】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7" w:name="b37"/>
      <w:pPr>
        <w:pStyle w:val="Heading1"/>
      </w:pPr>
      <w:r>
        <w:t>孕产史与定孕算法</w:t>
      </w:r>
      <w:bookmarkEnd w:id="3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孕次包含本次妊娠与否按本院口径明确；产次不是活产儿人数，多胎一次分娩不能简单算两次产次。以逐次妊娠清单核算流产、早产、足月、死胎和存活儿，G P及GTPAL缩写须注明口径。出生后产次改变需要实际分娩事件，不靠目标文书标题自动加一。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定孕来源依次明确为可靠LMP、早孕超声医师校正、ART或其他有依据来源，不以简单优先表替代医师对矛盾的裁定。保留basis_date、basis_ga_days、confirmed_edd、confirmation_source、version。目标日孕天数＝已核基准孕天数＋目标日期与基准日期差；或280－EDD与目标日期差，二者须一致。以整数除7得周和余天。无可靠基准不输出精确周加天，负天数或明显异常须核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辅助生殖若有真实移植日期和胚胎日龄，可按移植日孕天数14＋胚胎日龄建立候选基准，必须与生殖中心确认记录核对。可靠EDD不因今日系统日期改变；晚孕测量用于生长评估，不能静默改EDD。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孕周及预产期评估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妊娠【pregnancy_id】，定孕依据【来源、日期及实测/记录】，已核预产期【日期及确认者版本】，于【目标日期】相应孕周【周加天】。其他来源【值及差异】，当前处理【已确认保留或修订及依据】，未裁定冲突【框外核对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2" w:name="b42"/>
      <w:pPr>
        <w:pStyle w:val="Heading1"/>
      </w:pPr>
      <w:r>
        <w:t>产科实查与母胎状态</w:t>
      </w:r>
      <w:bookmarkEnd w:id="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母体：当次症状、血压脉搏呼吸体温氧合及相关器官检查。产科：宫高腹围、腹诊胎位先露、每胎胎心、宫缩频率持续时间和实际评价、胎膜证据、羊水性状；宫口扩张站位胎方位需实际检查时间及检查者。超声胎位不是当日腹诊结果。检查前评估流血、胎盘及破膜风险，不能为补记录实施不适用检查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母胎状态评估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母体：【当次症状、生命体征和器官危险】</w:t>
        <w:br/>
        <w:t>孕周：【来源及核实周加天】</w:t>
        <w:br/>
        <w:t>胎儿【ID】：【胎位胎心胎动及监测时点来源】</w:t>
        <w:br/>
        <w:t>宫缩和产程：【实际参数、宫颈检查时间及所见】</w:t>
        <w:br/>
        <w:t>胎膜羊水：【证据和发生时间】</w:t>
        <w:br/>
        <w:t>风险与计划：【真实分层及医师安排】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5" w:name="b45"/>
      <w:pPr>
        <w:pStyle w:val="Heading1"/>
      </w:pPr>
      <w:r>
        <w:t>多胎纵向身份与结果归属</w:t>
      </w:r>
      <w:bookmarkEnd w:id="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每胎保留固定ID、定位图、胎盘羊膜关系及每次超声的标识方法。A B名称可随机构报告变化，不能按同名字母盲合并，需可靠位置及原记录核匹配。不清晰时先隔离；A心率不能给B，单胎已监测不能写双胎均正常。出生后以真实交接映射fetus_id→newborn_id，未核可记录“映射待核”，但不得复制出生体重或Apgar。</w:t>
      </w:r>
    </w:p>
    <w:p>
      <w:bookmarkStart w:id="47" w:name="b47"/>
      <w:pPr>
        <w:pStyle w:val="Heading1"/>
      </w:pPr>
      <w:r>
        <w:t>完整虚构病例及可复制拟稿</w:t>
      </w:r>
      <w:bookmarkEnd w:id="4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母体OB-A，第二标识SYN-A，E01，31岁，G2P1，当前妊娠PG-A，胎儿FA。月经规律，可靠LMP为2026年1月23日，早孕超声与定孕相符，医师已确认EDD为2026年10月30日。2026年10月30日09:00因不规则宫缩入院；胎动与平日相近，无阴道流液为此次询问结果，血压118/72mmHg，脉搏82次/min。腹诊头位，听诊FA胎心144次/min，宫口1cm、胎膜完整为09:10真实检查。10月29日超声EFW3200g，胎盘后壁，最大羊水深度4.3cm；血常规Hb112g/L。尚无引产或手术实施，医师计划继续待产观察并复核产检。以上数值与结论均为演示构造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孕周及母胎评估记录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妊娠PG-A依据可靠末次月经及相符早孕超声，已由医师确认预产期2026年10月30日，目标日期相应孕40周0天。今日腹诊头位，听诊FA胎心144次/min；09:10检查宫口1cm、胎膜完整。10月29日超声估重3200g为历史影像信息，不作为今日触诊或出生体重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2" w:name="b52"/>
      <w:pPr>
        <w:pStyle w:val="Heading1"/>
      </w:pPr>
      <w:r>
        <w:t>真实性限制与常见错误</w:t>
      </w:r>
      <w:bookmarkEnd w:id="5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母体脉搏当胎心，昨日宫口当今日检查，胎儿A结果复制给B。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55" w:name="b55"/>
      <w:pPr>
        <w:pStyle w:val="Heading1"/>
      </w:pPr>
      <w:r>
        <w:t>模块协同及更新维护</w:t>
      </w:r>
      <w:bookmarkEnd w:id="5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58" w:name="b58"/>
      <w:pPr>
        <w:pStyle w:val="Heading1"/>
      </w:pPr>
      <w:r>
        <w:t>指南来源与已核验范围</w:t>
      </w:r>
      <w:bookmarkEnd w:id="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R06 产前诊断技术管理办法。发布机构：卫生部 国家卫生健康委。年份及版本：2002发布 2019修订。适用人群：产前诊断机构和人员。核验日期：2026-10-30。范围：官方规章正文可核。本库采用要点：筛查与诊断结果分开，按许可范围开展服务。证据等级：部门规章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https:/​/​www.nhc.gov.cn/​wjw/​c100221/​202201/​681c3d285fe149abb8fcf2779f6aef21.shtml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R07 孕产妇妊娠风险评估与管理工作规范。发布机构：国家卫生计生委办公厅。年份及版本：2017 国卫办妇幼发〔2017〕35号。适用人群：妊娠至产后42天。核验日期：2026-10-30。范围：官方正文可核。本库采用要点：初评及病情变化后的动态评估，分级有日期和依据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https:/​/​www.nhc.gov.cn/​fys/​gzbs/​201711/​c940e3204de64ee8bd074ad05f5a6548.shtml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R11 胎儿生长受限专家共识 2019版。发布机构：中华医学会围产医学分会胎儿医学学组等。年份及版本：2019。适用人群：疑似或确诊FGR。核验日期：2026-10-30。范围：期刊发布原文网页可核。本库采用要点：联合孕周准确性、生长曲线、羊水和多普勒评估，不把所有偏小胎儿等同FGR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https:/​/​seleguide.yiigle.com/​uploads/​guide_​html/​胎儿生长受限专家共识（2019版）.html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R16 双胎妊娠临床处理指南 2020年更新。发布机构：中华医学会围产医学分会等。年份及版本：2020。适用人群：双胎妊娠。核验日期：2026-10-30。范围：期刊原文网页可核。本库采用要点：以绒毛膜性、羊膜性和稳定胎儿标识组织监测和分娩决策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https:/​/​seleguide.yiigle.com/​uploads/​guide_​html/​双胎妊娠临床处理指南（2020年更新）.html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R17 ISUOG Practice Guidelines updated role of ultrasound in twin pregnancy。发布机构：ISUOG。年份及版本：2025 DOI 10.1002/uog.29166。适用人群：双胎超声及并发症。核验日期：2026-10-30。范围：学会正式PDF和期刊元数据已核。本库采用要点：胎儿标识和绒毛膜性需纵向保持，单绒毛膜特殊风险独立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https:/​/​www.isuog.org/​static/​89db40d1-928b-49bc-be5ea200fd41130c/​ISUOG-Practice-Guidelines-role-of-ultrasound-in-twin-pregnancy.pdf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R32 Urinary incontinence and pelvic organ prolapse in women management NG123。发布机构：NICE。年份及版本：2019。适用人群：成年女性尿失禁与POP。核验日期：2026-10-30。范围：官网推荐页面可核。本库采用要点：症状、POP Q实测及尿动力学结果分开；保守与手术按个体目标决策。证据等级：未逐条复核原文推荐强度及证据质量，不赋自定等级。更新状态：仅确认本次检索到的正式版本或页面更新日期；不据未检出断言绝对最新。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https:/​/​www.nice.org.uk/​guidance/​ng123/​chapter/​Recommendations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03_妇产科专科检查孕周胎位及母胎状态评估模板库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