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04 妇产科检验超声胎心监护</w:t>
        <w:br/>
        <w:t>影像病理及特殊检查分析模板库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04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报告原文与临床综合分析双模式</w:t>
        </w:r>
      </w:hyperlink>
    </w:p>
    <w:p>
      <w:pPr>
        <w:spacing w:before="0" w:after="20" w:line="260" w:lineRule="exact"/>
        <w:ind w:left="0"/>
      </w:pPr>
      <w:hyperlink w:anchor="b11">
        <w:r>
          <w:rPr>
            <w:color w:val="000000"/>
            <w:sz w:val="20"/>
          </w:rPr>
          <w:t>常规及专科检验解释要点</w:t>
        </w:r>
      </w:hyperlink>
    </w:p>
    <w:p>
      <w:pPr>
        <w:spacing w:before="0" w:after="20" w:line="260" w:lineRule="exact"/>
        <w:ind w:left="216"/>
      </w:pPr>
      <w:hyperlink w:anchor="b12">
        <w:r>
          <w:rPr>
            <w:color w:val="000000"/>
            <w:sz w:val="20"/>
          </w:rPr>
          <w:t>血常规血红蛋白</w:t>
        </w:r>
      </w:hyperlink>
    </w:p>
    <w:p>
      <w:pPr>
        <w:spacing w:before="0" w:after="20" w:line="260" w:lineRule="exact"/>
        <w:ind w:left="216"/>
      </w:pPr>
      <w:hyperlink w:anchor="b14">
        <w:r>
          <w:rPr>
            <w:color w:val="000000"/>
            <w:sz w:val="20"/>
          </w:rPr>
          <w:t>血小板及凝血</w:t>
        </w:r>
      </w:hyperlink>
    </w:p>
    <w:p>
      <w:pPr>
        <w:spacing w:before="0" w:after="20" w:line="260" w:lineRule="exact"/>
        <w:ind w:left="216"/>
      </w:pPr>
      <w:hyperlink w:anchor="b16">
        <w:r>
          <w:rPr>
            <w:color w:val="000000"/>
            <w:sz w:val="20"/>
          </w:rPr>
          <w:t>肝肾功能及电解质</w:t>
        </w:r>
      </w:hyperlink>
    </w:p>
    <w:p>
      <w:pPr>
        <w:spacing w:before="0" w:after="20" w:line="260" w:lineRule="exact"/>
        <w:ind w:left="216"/>
      </w:pPr>
      <w:hyperlink w:anchor="b18">
        <w:r>
          <w:rPr>
            <w:color w:val="000000"/>
            <w:sz w:val="20"/>
          </w:rPr>
          <w:t>尿常规及尿蛋白定量</w:t>
        </w:r>
      </w:hyperlink>
    </w:p>
    <w:p>
      <w:pPr>
        <w:spacing w:before="0" w:after="20" w:line="260" w:lineRule="exact"/>
        <w:ind w:left="216"/>
      </w:pPr>
      <w:hyperlink w:anchor="b20">
        <w:r>
          <w:rPr>
            <w:color w:val="000000"/>
            <w:sz w:val="20"/>
          </w:rPr>
          <w:t>血糖及OGTT</w:t>
        </w:r>
      </w:hyperlink>
    </w:p>
    <w:p>
      <w:pPr>
        <w:spacing w:before="0" w:after="20" w:line="260" w:lineRule="exact"/>
        <w:ind w:left="216"/>
      </w:pPr>
      <w:hyperlink w:anchor="b22">
        <w:r>
          <w:rPr>
            <w:color w:val="000000"/>
            <w:sz w:val="20"/>
          </w:rPr>
          <w:t>感染及病原学</w:t>
        </w:r>
      </w:hyperlink>
    </w:p>
    <w:p>
      <w:pPr>
        <w:spacing w:before="0" w:after="20" w:line="260" w:lineRule="exact"/>
        <w:ind w:left="216"/>
      </w:pPr>
      <w:hyperlink w:anchor="b24">
        <w:r>
          <w:rPr>
            <w:color w:val="000000"/>
            <w:sz w:val="20"/>
          </w:rPr>
          <w:t>血型及不规则抗体</w:t>
        </w:r>
      </w:hyperlink>
    </w:p>
    <w:p>
      <w:pPr>
        <w:spacing w:before="0" w:after="20" w:line="260" w:lineRule="exact"/>
        <w:ind w:left="216"/>
      </w:pPr>
      <w:hyperlink w:anchor="b26">
        <w:r>
          <w:rPr>
            <w:color w:val="000000"/>
            <w:sz w:val="20"/>
          </w:rPr>
          <w:t>妊娠相关特定检验</w:t>
        </w:r>
      </w:hyperlink>
    </w:p>
    <w:p>
      <w:pPr>
        <w:spacing w:before="0" w:after="20" w:line="260" w:lineRule="exact"/>
        <w:ind w:left="216"/>
      </w:pPr>
      <w:hyperlink w:anchor="b28">
        <w:r>
          <w:rPr>
            <w:color w:val="000000"/>
            <w:sz w:val="20"/>
          </w:rPr>
          <w:t>性激素</w:t>
        </w:r>
      </w:hyperlink>
    </w:p>
    <w:p>
      <w:pPr>
        <w:spacing w:before="0" w:after="20" w:line="260" w:lineRule="exact"/>
        <w:ind w:left="216"/>
      </w:pPr>
      <w:hyperlink w:anchor="b30">
        <w:r>
          <w:rPr>
            <w:color w:val="000000"/>
            <w:sz w:val="20"/>
          </w:rPr>
          <w:t>肿瘤标志物</w:t>
        </w:r>
      </w:hyperlink>
    </w:p>
    <w:p>
      <w:pPr>
        <w:spacing w:before="0" w:after="20" w:line="260" w:lineRule="exact"/>
        <w:ind w:left="0"/>
      </w:pPr>
      <w:hyperlink w:anchor="b32">
        <w:r>
          <w:rPr>
            <w:color w:val="000000"/>
            <w:sz w:val="20"/>
          </w:rPr>
          <w:t>产科超声逐胎结构化核对</w:t>
        </w:r>
      </w:hyperlink>
    </w:p>
    <w:p>
      <w:pPr>
        <w:spacing w:before="0" w:after="20" w:line="260" w:lineRule="exact"/>
        <w:ind w:left="0"/>
      </w:pPr>
      <w:hyperlink w:anchor="b34">
        <w:r>
          <w:rPr>
            <w:color w:val="000000"/>
            <w:sz w:val="20"/>
          </w:rPr>
          <w:t>胎心监护判读的资料门槛</w:t>
        </w:r>
      </w:hyperlink>
    </w:p>
    <w:p>
      <w:pPr>
        <w:spacing w:before="0" w:after="20" w:line="260" w:lineRule="exact"/>
        <w:ind w:left="0"/>
      </w:pPr>
      <w:hyperlink w:anchor="b38">
        <w:r>
          <w:rPr>
            <w:color w:val="000000"/>
            <w:sz w:val="20"/>
          </w:rPr>
          <w:t>妇科影像与病理链</w:t>
        </w:r>
      </w:hyperlink>
    </w:p>
    <w:p>
      <w:pPr>
        <w:spacing w:before="0" w:after="20" w:line="260" w:lineRule="exact"/>
        <w:ind w:left="0"/>
      </w:pPr>
      <w:hyperlink w:anchor="b41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46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49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52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功能定位：检验超声胎心监护妇科影像及病理双模式分析。适用中国医院妇科病房、产科高危病房、产房、手术及产褥随访；仅处理本模块相关任务。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自动调用条件：用户要求原文整理或临床解释以及新结果回报。必需资料：报告原文身份对象日期采样回报时间方法单位及参考范围。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按01输出协议和10终审执行。题头在text代码框外；日常病程及三级查房正文一整段。产程、手术、分娩和抢救保留必要结构与真实事件时间。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报告原文与临床综合分析双模式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式一忠实保留项目、日期、数值、单位、参考范围、诊断所见意见和确定度；用户要求原文时不擅自纠错或拼临床判断。原文疑字先标待核，不根据常识补数。模式二另段分析真实异常、趋势、与孕周及母胎/妇科问题的关系和证据边界。不能把医师复阅或AI推断写成原报告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检查原文整理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检查名称：【原文】</w:t>
        <w:br/>
        <w:t>采样检查时间与报告时间：【各自原记录】</w:t>
        <w:br/>
        <w:t>方法及部位对象：【母体/胎儿ID/病灶标本】</w:t>
        <w:br/>
        <w:t>结果：【数值单位参考范围或所见原文】</w:t>
        <w:br/>
        <w:t>诊断意见：【原文及不确定性】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检查结果分析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实际日期】完成【检查及对象】，主要结果【真实异常和有意义正常值】，与【可比前次日期结果】相比【实际变化】。结合【当前孕周、母胎或妇科证据】，支持【确定度】；仍需鉴别【本例相关问题】，对【真实治疗决策】的影响为【分析或已确认意见】，待【实际后续安排】复评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" w:name="b11"/>
      <w:pPr>
        <w:pStyle w:val="Heading1"/>
      </w:pPr>
      <w:r>
        <w:t>常规及专科检验解释要点</w:t>
      </w:r>
      <w:bookmarkEnd w:id="11"/>
    </w:p>
    <w:p>
      <w:bookmarkStart w:id="12" w:name="b12"/>
      <w:pPr>
        <w:pStyle w:val="Heading2"/>
      </w:pPr>
      <w:r>
        <w:t>血常规血红蛋白</w:t>
      </w:r>
      <w:bookmarkEnd w:id="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采样时点、失血补液输血前后和孕期生理变化；Hb下降不独立证明仍在出血。</w:t>
      </w:r>
    </w:p>
    <w:p>
      <w:bookmarkStart w:id="14" w:name="b14"/>
      <w:pPr>
        <w:pStyle w:val="Heading2"/>
      </w:pPr>
      <w:r>
        <w:t>血小板及凝血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血小板PT APTT纤维蛋白原及方法单位，HELLP DIC需完整证据；不能单值定诊。</w:t>
      </w:r>
    </w:p>
    <w:p>
      <w:bookmarkStart w:id="16" w:name="b16"/>
      <w:pPr>
        <w:pStyle w:val="Heading2"/>
      </w:pPr>
      <w:r>
        <w:t>肝肾功能及电解质</w:t>
      </w:r>
      <w:bookmarkEnd w:id="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按孕期参考和基线趋势，蛋白尿肾病与子痫前期关联；严重异常优先现场评估。</w:t>
      </w:r>
    </w:p>
    <w:p>
      <w:bookmarkStart w:id="18" w:name="b18"/>
      <w:pPr>
        <w:pStyle w:val="Heading2"/>
      </w:pPr>
      <w:r>
        <w:t>尿常规及尿蛋白定量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清洁取样、污染、定性与定量方法，不能用一次试纸替代所有诊断。</w:t>
      </w:r>
    </w:p>
    <w:p>
      <w:bookmarkStart w:id="20" w:name="b20"/>
      <w:pPr>
        <w:pStyle w:val="Heading2"/>
      </w:pPr>
      <w:r>
        <w:t>血糖及OGTT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75g负荷、孕周、空腹与1h2h采样和单位；条件不符不强套GDM阈值。</w:t>
      </w:r>
    </w:p>
    <w:p>
      <w:bookmarkStart w:id="22" w:name="b22"/>
      <w:pPr>
        <w:pStyle w:val="Heading2"/>
      </w:pPr>
      <w:r>
        <w:t>感染及病原学</w:t>
      </w:r>
      <w:bookmarkEnd w:id="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标本部位、采样与抗菌先后、方法污染和定植；阳性和临床感染分开。</w:t>
      </w:r>
    </w:p>
    <w:p>
      <w:bookmarkStart w:id="24" w:name="b24"/>
      <w:pPr>
        <w:pStyle w:val="Heading2"/>
      </w:pPr>
      <w:r>
        <w:t>血型及不规则抗体</w:t>
      </w:r>
      <w:bookmarkEnd w:id="2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母体血型Rh分型及抗体筛查方法日期；不能从母体推胎儿血型或自动写免疫预防已实施。</w:t>
      </w:r>
    </w:p>
    <w:p>
      <w:bookmarkStart w:id="26" w:name="b26"/>
      <w:pPr>
        <w:pStyle w:val="Heading2"/>
      </w:pPr>
      <w:r>
        <w:t>妊娠相关特定检验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β hCG动态、筛查风险值和具体检测适用范围；筛查与诊断独立。</w:t>
      </w:r>
    </w:p>
    <w:p>
      <w:bookmarkStart w:id="28" w:name="b28"/>
      <w:pPr>
        <w:pStyle w:val="Heading2"/>
      </w:pPr>
      <w:r>
        <w:t>性激素</w:t>
      </w:r>
      <w:bookmarkEnd w:id="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周期天数、妊娠哺乳、药物及检测干扰，一次异常不永久定性。</w:t>
      </w:r>
    </w:p>
    <w:p>
      <w:bookmarkStart w:id="30" w:name="b30"/>
      <w:pPr>
        <w:pStyle w:val="Heading2"/>
      </w:pPr>
      <w:r>
        <w:t>肿瘤标志物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绝经妊娠炎症和病灶语境，CA125等不能替代组织诊断或分期。</w:t>
      </w:r>
    </w:p>
    <w:p>
      <w:bookmarkStart w:id="32" w:name="b32"/>
      <w:pPr>
        <w:pStyle w:val="Heading1"/>
      </w:pPr>
      <w:r>
        <w:t>产科超声逐胎结构化核对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按检查日期和每胎ID保存妊娠部位、胎数胎心、生物测量BPD HC AC FL及EFW、采用公式曲线百分位、胎儿解剖筛查范围和受限结构、羊水测量方法及单位、胎盘位置及疑点、脐动脉等多普勒部位与参数、宫颈长度测量方法及多胎绒毛膜性。BPP仅实际完成才记录各分项。估重是当日估计而非出生体重；“未见明显异常”保留报告筛查范围，不扩写排除所有畸形。</w:t>
      </w:r>
    </w:p>
    <w:p>
      <w:bookmarkStart w:id="34" w:name="b34"/>
      <w:pPr>
        <w:pStyle w:val="Heading1"/>
      </w:pPr>
      <w:r>
        <w:t>胎心监护判读的资料门槛</w:t>
      </w:r>
      <w:bookmarkEnd w:id="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至少核监测对象、孕周、产前/产时场景、起止时间、信号质量、母体脉搏、基线、变异、加速、减速类型及与宫缩关系、宫缩频率和设备/医师各自意见。原曲线、机器自动分析和实际医师判读三者分别保存。无法可靠读图或缺参数时仅整理已知描述，不自行定NST反应性或CTG分类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采用FIGO、NICHD或NICE等体系必须明确场景、正式版本及分类依据；不得拼接不同体系阈值和分类词。产前NST与产时CTG不能机械互套；多胎先确认信号是否各自有效。异常监护需现场团队即时评估，文字整理不替代监护判读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胎心监护分析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监护场景及时间：【产前或产时、孕周、起止】</w:t>
        <w:br/>
        <w:t>对象及信号：【fetus_id、母体脉搏比对及质量】</w:t>
        <w:br/>
        <w:t>原始参数：【基线变异加速减速和宫缩】</w:t>
        <w:br/>
        <w:t>设备分析：【原自动结果】</w:t>
        <w:br/>
        <w:t>实际医师判读：【体系版本、依据及结论】</w:t>
        <w:br/>
        <w:t>临床对应及处理：【当时母胎状态、真实决定、实施和复评】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8" w:name="b38"/>
      <w:pPr>
        <w:pStyle w:val="Heading1"/>
      </w:pPr>
      <w:r>
        <w:t>妇科影像与病理链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经腹、经阴道超声与CT MRI各自保存部位侧别三径、数量、实囊性血流、子宫宫腔关系、腹水及转移疑点，不从照片凭空测量。病理链包含HPV与细胞学、宫颈活检锥切、内膜活检宫腔镜标本、卵巢子宫附件标本、冰冻、正式石蜡、免疫组化分子和胎盘病理。每个标本核标本ID、采集部位侧别及操作ID，采集与回报分开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冰冻与石蜡不一致保留两版原文，新证据触发当前诊断修正，不改写过去可合理的术前诊断；肿瘤FIGO注明癌种体系版本及临床/病理依据，缺病理或必要分期证据时输出“分期待进一步评估”，不能自行填期别。</w:t>
      </w:r>
    </w:p>
    <w:p>
      <w:bookmarkStart w:id="41" w:name="b41"/>
      <w:pPr>
        <w:pStyle w:val="Heading1"/>
      </w:pPr>
      <w:r>
        <w:t>完整虚构病例及可复制拟稿</w:t>
      </w:r>
      <w:bookmarkEnd w:id="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OB-T/SYN-T/E01、PG-T，双胎FA与FB，已核EDD2026年12月11日，2026年10月30日为孕34周0天。位置图显示FA位于母体左侧，FB位于右侧，当前报告与既有图谱可核对应。10月30日08:00超声FA估重2100g、FB1900g；母体脉搏88次/min。设备仅给出自动“可疑”提示，没有可读原曲线、完整基线变异减速参数或实际医师分类。尚无分娩和新生儿出生资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超声与胎心监护分析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原始结果：10月30日08:00超声记FA估重2100g、FB估重1900g；胎儿标识已按位置图核对。设备自动提示“可疑”，未提供可靠原始监护曲线及完整参数。</w:t>
        <w:br/>
        <w:t>临床分析：上述为孕34周0天各胎超声估重，不能作为出生体重。现有资料不足以赋NST或产时CTG分类，也不能由母体脉搏88次/min推定任一胎心率。需由实际医师核原始信号并结合母胎状态评估。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6" w:name="b46"/>
      <w:pPr>
        <w:pStyle w:val="Heading1"/>
      </w:pPr>
      <w:r>
        <w:t>真实性限制与常见错误</w:t>
      </w:r>
      <w:bookmarkEnd w:id="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报告原文混入AI推断，冰冻当石蜡，晚孕估重当出生体重。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49" w:name="b49"/>
      <w:pPr>
        <w:pStyle w:val="Heading1"/>
      </w:pPr>
      <w:r>
        <w:t>模块协同及更新维护</w:t>
      </w:r>
      <w:bookmarkEnd w:id="4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52" w:name="b52"/>
      <w:pPr>
        <w:pStyle w:val="Heading1"/>
      </w:pPr>
      <w:r>
        <w:t>指南来源与已核验范围</w:t>
      </w:r>
      <w:bookmarkEnd w:id="5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R09 妊娠期高血糖诊治指南 2022 第一部分。发布机构：中华医学会妇产科学分会产科学组等。年份及版本：2022 DOI 10.3760/cma.j.cn112141-20210917-00528。适用人群：妊娠期高血糖。核验日期：2026-10-30。范围：期刊原文索引和方法信息可核；全文访问不稳定。本库采用要点：区分孕前糖尿病、妊娠期显性糖尿病及GDM；采样条件与孕周对应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https:/​/​cs.medjournals.cn/​article/​en/​doi/​full/​10.3760/​cma.j.cn112141-20210917-00528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R11 胎儿生长受限专家共识 2019版。发布机构：中华医学会围产医学分会胎儿医学学组等。年份及版本：2019。适用人群：疑似或确诊FGR。核验日期：2026-10-30。范围：期刊发布原文网页可核。本库采用要点：联合孕周准确性、生长曲线、羊水和多普勒评估，不把所有偏小胎儿等同FGR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https:/​/​seleguide.yiigle.com/​uploads/​guide_​html/​胎儿生长受限专家共识（2019版）.html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R17 ISUOG Practice Guidelines updated role of ultrasound in twin pregnancy。发布机构：ISUOG。年份及版本：2025 DOI 10.1002/uog.29166。适用人群：双胎超声及并发症。核验日期：2026-10-30。范围：学会正式PDF和期刊元数据已核。本库采用要点：胎儿标识和绒毛膜性需纵向保持，单绒毛膜特殊风险独立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https:/​/​www.isuog.org/​static/​89db40d1-928b-49bc-be5ea200fd41130c/​ISUOG-Practice-Guidelines-role-of-ultrasound-in-twin-pregnancy.pdf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R18 Fetal monitoring in labour NG229。发布机构：NICE。年份及版本：2022 发布 页面更新2026-03-25。适用人群：产时胎儿监测。核验日期：2026-10-30。范围：官网更新日期及推荐页面检索可核。本库采用要点：母体脉搏和胎心区分，产时CTG体系不可与产前NST混用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https:/​/​www.nice.org.uk/​guidance/​ng229/​chapter/​Recommendations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R23 中国子宫颈癌筛查指南 一。发布机构：七个学协会联合。年份及版本：2023 DOI 10.13390/j.issn.1672-1861.2023.04.029。适用人群：一般风险宫颈筛查。核验日期：2026-10-30。范围：原期刊题录和摘要可核。本库采用要点：高危HPV用于筛查，阳性不等于组织学癌；既往病变人群不能套一般间隔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https:/​/​www.obgyncn.com/​CN/​10.13390/​j.issn.1672-1861.2023.04.029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R24 FIGO staging of endometrial cancer 2023。发布机构：FIGO Women’s Cancer Committee。年份及版本：2023。适用人群：子宫内膜癌分期。核验日期：2026-10-30。范围：正式分期原文及期刊题录已核。本库采用要点：2023体系包含组织学及相关分子信息；不能只凭肌层浸润套2009分期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https:/​/​pmc.ncbi.nlm.nih.gov/​articles/​PMC10482588/​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R30 常见阴道炎的规范化诊断流程指南 2025。发布机构：国家妇产疾病临床医学研究中心 国家卫生健康委临床检验中心。年份及版本：2026-02-25刊发 DOI 10.3760/cma.j.cn112141-20250814-00378。适用人群：常见阴道炎诊断。核验日期：2026-10-30。范围：期刊检索索引可核；直接打开为缺页/订阅提示，未视为全文已读。本库采用要点：标题年份2025与正式刊发2026区分；综合症状、查体和实验室证据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https:/​/​cs.medjournals.cn/​article/​doi/​full/​10.3760/​cma.j.cn112141-20250814-00378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R38 A Summary of Chinese Guidelines on Diagnosis and Management of Hyperglycemia in Pregnancy 2022。发布机构：指南作者团队。年份及版本：2023 正式作者摘要论文。适用人群：中国2022妊娠期高血糖指南的分型诊断及随访。核验日期：2026-10-30。范围：正式作者论文及关键OGTT和产后条目检索可核；不冒称中文完整原指南。本库采用要点：标准75g OGTT阈值及产后复查与原版条件对应。证据等级：作者正式摘要论文1-5条75g OGTT诊断推荐标为Grade A，已核；不将该等级推广到其他推荐。更新状态：仅确认本次检索到的正式版本或页面更新日期；不据未检出断言绝对最新。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https:/​/​pmc.ncbi.nlm.nih.gov/​articles/​PMC12106219/​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04_妇产科检验超声胎心监护影像病理及特殊检查分析模板库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