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07 妇产科治疗决策妊娠用药</w:t>
        <w:br/>
        <w:t>输血及医嘱表达规则库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07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治疗状态与表达</w:t>
        </w:r>
      </w:hyperlink>
    </w:p>
    <w:p>
      <w:pPr>
        <w:spacing w:before="0" w:after="20" w:line="260" w:lineRule="exact"/>
        <w:ind w:left="216"/>
      </w:pPr>
      <w:hyperlink w:anchor="b10">
        <w:r>
          <w:rPr>
            <w:color w:val="000000"/>
            <w:sz w:val="20"/>
          </w:rPr>
          <w:t>孕期常规管理</w:t>
        </w:r>
      </w:hyperlink>
    </w:p>
    <w:p>
      <w:pPr>
        <w:spacing w:before="0" w:after="20" w:line="260" w:lineRule="exact"/>
        <w:ind w:left="216"/>
      </w:pPr>
      <w:hyperlink w:anchor="b13">
        <w:r>
          <w:rPr>
            <w:color w:val="000000"/>
            <w:sz w:val="20"/>
          </w:rPr>
          <w:t>分娩相关治疗</w:t>
        </w:r>
      </w:hyperlink>
    </w:p>
    <w:p>
      <w:pPr>
        <w:spacing w:before="0" w:after="20" w:line="260" w:lineRule="exact"/>
        <w:ind w:left="216"/>
      </w:pPr>
      <w:hyperlink w:anchor="b16">
        <w:r>
          <w:rPr>
            <w:color w:val="000000"/>
            <w:sz w:val="20"/>
          </w:rPr>
          <w:t>宫缩剂</w:t>
        </w:r>
      </w:hyperlink>
    </w:p>
    <w:p>
      <w:pPr>
        <w:spacing w:before="0" w:after="20" w:line="260" w:lineRule="exact"/>
        <w:ind w:left="216"/>
      </w:pPr>
      <w:hyperlink w:anchor="b19">
        <w:r>
          <w:rPr>
            <w:color w:val="000000"/>
            <w:sz w:val="20"/>
          </w:rPr>
          <w:t>产后出血治疗</w:t>
        </w:r>
      </w:hyperlink>
    </w:p>
    <w:p>
      <w:pPr>
        <w:spacing w:before="0" w:after="20" w:line="260" w:lineRule="exact"/>
        <w:ind w:left="216"/>
      </w:pPr>
      <w:hyperlink w:anchor="b22">
        <w:r>
          <w:rPr>
            <w:color w:val="000000"/>
            <w:sz w:val="20"/>
          </w:rPr>
          <w:t>子痫前期及子痫治疗</w:t>
        </w:r>
      </w:hyperlink>
    </w:p>
    <w:p>
      <w:pPr>
        <w:spacing w:before="0" w:after="20" w:line="260" w:lineRule="exact"/>
        <w:ind w:left="216"/>
      </w:pPr>
      <w:hyperlink w:anchor="b25">
        <w:r>
          <w:rPr>
            <w:color w:val="000000"/>
            <w:sz w:val="20"/>
          </w:rPr>
          <w:t>妊娠期高血压治疗</w:t>
        </w:r>
      </w:hyperlink>
    </w:p>
    <w:p>
      <w:pPr>
        <w:spacing w:before="0" w:after="20" w:line="260" w:lineRule="exact"/>
        <w:ind w:left="216"/>
      </w:pPr>
      <w:hyperlink w:anchor="b28">
        <w:r>
          <w:rPr>
            <w:color w:val="000000"/>
            <w:sz w:val="20"/>
          </w:rPr>
          <w:t>妊娠期高血糖治疗</w:t>
        </w:r>
      </w:hyperlink>
    </w:p>
    <w:p>
      <w:pPr>
        <w:spacing w:before="0" w:after="20" w:line="260" w:lineRule="exact"/>
        <w:ind w:left="216"/>
      </w:pPr>
      <w:hyperlink w:anchor="b31">
        <w:r>
          <w:rPr>
            <w:color w:val="000000"/>
            <w:sz w:val="20"/>
          </w:rPr>
          <w:t>宫缩抑制</w:t>
        </w:r>
      </w:hyperlink>
    </w:p>
    <w:p>
      <w:pPr>
        <w:spacing w:before="0" w:after="20" w:line="260" w:lineRule="exact"/>
        <w:ind w:left="216"/>
      </w:pPr>
      <w:hyperlink w:anchor="b34">
        <w:r>
          <w:rPr>
            <w:color w:val="000000"/>
            <w:sz w:val="20"/>
          </w:rPr>
          <w:t>促胎肺成熟</w:t>
        </w:r>
      </w:hyperlink>
    </w:p>
    <w:p>
      <w:pPr>
        <w:spacing w:before="0" w:after="20" w:line="260" w:lineRule="exact"/>
        <w:ind w:left="216"/>
      </w:pPr>
      <w:hyperlink w:anchor="b37">
        <w:r>
          <w:rPr>
            <w:color w:val="000000"/>
            <w:sz w:val="20"/>
          </w:rPr>
          <w:t>围术期抗菌药</w:t>
        </w:r>
      </w:hyperlink>
    </w:p>
    <w:p>
      <w:pPr>
        <w:spacing w:before="0" w:after="20" w:line="260" w:lineRule="exact"/>
        <w:ind w:left="216"/>
      </w:pPr>
      <w:hyperlink w:anchor="b40">
        <w:r>
          <w:rPr>
            <w:color w:val="000000"/>
            <w:sz w:val="20"/>
          </w:rPr>
          <w:t>妇科感染抗菌治疗</w:t>
        </w:r>
      </w:hyperlink>
    </w:p>
    <w:p>
      <w:pPr>
        <w:spacing w:before="0" w:after="20" w:line="260" w:lineRule="exact"/>
        <w:ind w:left="216"/>
      </w:pPr>
      <w:hyperlink w:anchor="b43">
        <w:r>
          <w:rPr>
            <w:color w:val="000000"/>
            <w:sz w:val="20"/>
          </w:rPr>
          <w:t>妇科内分泌治疗</w:t>
        </w:r>
      </w:hyperlink>
    </w:p>
    <w:p>
      <w:pPr>
        <w:spacing w:before="0" w:after="20" w:line="260" w:lineRule="exact"/>
        <w:ind w:left="216"/>
      </w:pPr>
      <w:hyperlink w:anchor="b46">
        <w:r>
          <w:rPr>
            <w:color w:val="000000"/>
            <w:sz w:val="20"/>
          </w:rPr>
          <w:t>妇科手术镇痛</w:t>
        </w:r>
      </w:hyperlink>
    </w:p>
    <w:p>
      <w:pPr>
        <w:spacing w:before="0" w:after="20" w:line="260" w:lineRule="exact"/>
        <w:ind w:left="216"/>
      </w:pPr>
      <w:hyperlink w:anchor="b49">
        <w:r>
          <w:rPr>
            <w:color w:val="000000"/>
            <w:sz w:val="20"/>
          </w:rPr>
          <w:t>抗凝及VTE预防</w:t>
        </w:r>
      </w:hyperlink>
    </w:p>
    <w:p>
      <w:pPr>
        <w:spacing w:before="0" w:after="20" w:line="260" w:lineRule="exact"/>
        <w:ind w:left="216"/>
      </w:pPr>
      <w:hyperlink w:anchor="b52">
        <w:r>
          <w:rPr>
            <w:color w:val="000000"/>
            <w:sz w:val="20"/>
          </w:rPr>
          <w:t>输血与血制品</w:t>
        </w:r>
      </w:hyperlink>
    </w:p>
    <w:p>
      <w:pPr>
        <w:spacing w:before="0" w:after="20" w:line="260" w:lineRule="exact"/>
        <w:ind w:left="216"/>
      </w:pPr>
      <w:hyperlink w:anchor="b55">
        <w:r>
          <w:rPr>
            <w:color w:val="000000"/>
            <w:sz w:val="20"/>
          </w:rPr>
          <w:t>补液及容量</w:t>
        </w:r>
      </w:hyperlink>
    </w:p>
    <w:p>
      <w:pPr>
        <w:spacing w:before="0" w:after="20" w:line="260" w:lineRule="exact"/>
        <w:ind w:left="216"/>
      </w:pPr>
      <w:hyperlink w:anchor="b58">
        <w:r>
          <w:rPr>
            <w:color w:val="000000"/>
            <w:sz w:val="20"/>
          </w:rPr>
          <w:t>妊娠药物安全</w:t>
        </w:r>
      </w:hyperlink>
    </w:p>
    <w:p>
      <w:pPr>
        <w:spacing w:before="0" w:after="20" w:line="260" w:lineRule="exact"/>
        <w:ind w:left="216"/>
      </w:pPr>
      <w:hyperlink w:anchor="b61">
        <w:r>
          <w:rPr>
            <w:color w:val="000000"/>
            <w:sz w:val="20"/>
          </w:rPr>
          <w:t>哺乳药物安全</w:t>
        </w:r>
      </w:hyperlink>
    </w:p>
    <w:p>
      <w:pPr>
        <w:spacing w:before="0" w:after="20" w:line="260" w:lineRule="exact"/>
        <w:ind w:left="216"/>
      </w:pPr>
      <w:hyperlink w:anchor="b64">
        <w:r>
          <w:rPr>
            <w:color w:val="000000"/>
            <w:sz w:val="20"/>
          </w:rPr>
          <w:t>妇科肿瘤综合治疗</w:t>
        </w:r>
      </w:hyperlink>
    </w:p>
    <w:p>
      <w:pPr>
        <w:spacing w:before="0" w:after="20" w:line="260" w:lineRule="exact"/>
        <w:ind w:left="216"/>
      </w:pPr>
      <w:hyperlink w:anchor="b67">
        <w:r>
          <w:rPr>
            <w:color w:val="000000"/>
            <w:sz w:val="20"/>
          </w:rPr>
          <w:t>围术期营养</w:t>
        </w:r>
      </w:hyperlink>
    </w:p>
    <w:p>
      <w:pPr>
        <w:spacing w:before="0" w:after="20" w:line="260" w:lineRule="exact"/>
        <w:ind w:left="216"/>
      </w:pPr>
      <w:hyperlink w:anchor="b70">
        <w:r>
          <w:rPr>
            <w:color w:val="000000"/>
            <w:sz w:val="20"/>
          </w:rPr>
          <w:t>用药不良反应</w:t>
        </w:r>
      </w:hyperlink>
    </w:p>
    <w:p>
      <w:pPr>
        <w:spacing w:before="0" w:after="20" w:line="260" w:lineRule="exact"/>
        <w:ind w:left="216"/>
      </w:pPr>
      <w:hyperlink w:anchor="b73">
        <w:r>
          <w:rPr>
            <w:color w:val="000000"/>
            <w:sz w:val="20"/>
          </w:rPr>
          <w:t>出院用药</w:t>
        </w:r>
      </w:hyperlink>
    </w:p>
    <w:p>
      <w:pPr>
        <w:spacing w:before="0" w:after="20" w:line="260" w:lineRule="exact"/>
        <w:ind w:left="0"/>
      </w:pPr>
      <w:hyperlink w:anchor="b76">
        <w:r>
          <w:rPr>
            <w:color w:val="000000"/>
            <w:sz w:val="20"/>
          </w:rPr>
          <w:t>输血与出血闭环</w:t>
        </w:r>
      </w:hyperlink>
    </w:p>
    <w:p>
      <w:pPr>
        <w:spacing w:before="0" w:after="20" w:line="260" w:lineRule="exact"/>
        <w:ind w:left="0"/>
      </w:pPr>
      <w:hyperlink w:anchor="b78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83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86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89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功能定位：妊娠哺乳及妇科用药治疗决策执行和输血管理。适用中国医院妇科病房、产科高危病房、产房、手术及产褥随访；仅处理本模块相关任务。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自动调用条件：拟定开立给药调整停复及出院带药。必需资料：适应证风险、真实药物方案、医嘱与每次执行记录。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按01输出协议和10终审执行。题头在text代码框外；日常病程及三级查房正文一整段。产程、手术、分娩和抢救保留必要结构与真实事件时间。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治疗状态与表达</w:t>
      </w:r>
      <w:bookmarkEnd w:id="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5256"/>
      </w:tblGrid>
      <w:tr>
        <w:trPr>
          <w:tblHeader/>
        </w:trPr>
        <w:tc>
          <w:tcPr>
            <w:tcW w:type="dxa" w:w="2088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592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可用表述</w:t>
            </w:r>
          </w:p>
        </w:tc>
        <w:tc>
          <w:tcPr>
            <w:tcW w:type="dxa" w:w="5256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必需来源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医学知识或建议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可考虑 供医师评估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权威依据及本例适用条件，不能写已决定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医师确认计划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拟行 计划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真实医师决定及时间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已开医嘱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已开立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医嘱ID、起止及通用名剂型剂量途径频次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实际执行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已于某时给予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给药或操作执行记录、真实量及反应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暂停停止取消拒绝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已暂停 停止 取消或拒绝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原因、决定时间和此前实际暴露保留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妊娠用药记录当前核实孕周、适应证、病情严重度、母胎获益风险、替代方案、肝肾体重、过敏和并用药。哺乳另核婴儿实际年龄早产与疾病、母体剂量途径及乳汁暴露信息。不能将旧的妊娠字母分类当完整风险结论，也不能由妊娠一概停用必要治疗。药品批准适应证、剂型和说明书动态核验。</w:t>
      </w:r>
    </w:p>
    <w:p>
      <w:bookmarkStart w:id="10" w:name="b10"/>
      <w:pPr>
        <w:pStyle w:val="Heading2"/>
      </w:pPr>
      <w:r>
        <w:t>孕期常规管理</w:t>
      </w:r>
      <w:bookmarkEnd w:id="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必需资料：真实营养活动补充剂及产检。决策及安全边界：建议不等已服用或已完成筛查。本模块给出文书审查原则，不提供可替代现场处方的默认药量。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孕期常规管理决策及执行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3" w:name="b13"/>
      <w:pPr>
        <w:pStyle w:val="Heading2"/>
      </w:pPr>
      <w:r>
        <w:t>分娩相关治疗</w:t>
      </w:r>
      <w:bookmarkEnd w:id="1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必需资料：指征产程胎膜胎位监护和瘢痕。决策及安全边界：引产催产和镇痛分别事件，不补默认剂量。本模块给出文书审查原则，不提供可替代现场处方的默认药量。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分娩相关治疗决策及执行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6" w:name="b16"/>
      <w:pPr>
        <w:pStyle w:val="Heading2"/>
      </w:pPr>
      <w:r>
        <w:t>宫缩剂</w:t>
      </w:r>
      <w:bookmarkEnd w:id="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出血或分娩目的、血压哮喘心脏病及药物。决策及安全边界：麦角类相关高血压及前列腺素相关哮喘等禁忌需逐药核；实际剂量不凭诊断补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宫缩剂决策及执行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9" w:name="b19"/>
      <w:pPr>
        <w:pStyle w:val="Heading2"/>
      </w:pPr>
      <w:r>
        <w:t>产后出血治疗</w:t>
      </w:r>
      <w:bookmarkEnd w:id="1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必需资料：出血时窗4T及凝血灌注。决策及安全边界：止血药物与复苏并行，计划给药与已给药独立。本模块给出文书审查原则，不提供可替代现场处方的默认药量。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产后出血治疗决策及执行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2" w:name="b22"/>
      <w:pPr>
        <w:pStyle w:val="Heading2"/>
      </w:pPr>
      <w:r>
        <w:t>子痫前期及子痫治疗</w:t>
      </w:r>
      <w:bookmarkEnd w:id="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必需资料：血压器官孕周、肾功能尿量呼吸及监测。决策及安全边界：降压和硫酸镁用途不同，实际负荷维持停变和毒性监测有来源。本模块给出文书审查原则，不提供可替代现场处方的默认药量。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子痫前期及子痫治疗决策及执行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5" w:name="b25"/>
      <w:pPr>
        <w:pStyle w:val="Heading2"/>
      </w:pPr>
      <w:r>
        <w:t>妊娠期高血压治疗</w:t>
      </w:r>
      <w:bookmarkEnd w:id="2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必需资料：重复血压与既往病、具体药品。决策及安全边界：孕期禁忌和产后哺乳重新评估，不能照搬非孕长期药。本模块给出文书审查原则，不提供可替代现场处方的默认药量。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妊娠期高血压治疗决策及执行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8" w:name="b28"/>
      <w:pPr>
        <w:pStyle w:val="Heading2"/>
      </w:pPr>
      <w:r>
        <w:t>妊娠期高血糖治疗</w:t>
      </w:r>
      <w:bookmarkEnd w:id="2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必需资料：实际血糖饮食活动低血糖和方案。决策及安全边界：每次胰岛素给药与监测匹配，产后需求不可自动照抄孕期。本模块给出文书审查原则，不提供可替代现场处方的默认药量。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妊娠期高血糖治疗决策及执行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1" w:name="b31"/>
      <w:pPr>
        <w:pStyle w:val="Heading2"/>
      </w:pPr>
      <w:r>
        <w:t>宫缩抑制</w:t>
      </w:r>
      <w:bookmarkEnd w:id="3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必需资料：孕周宫颈胎膜、感染出血和禁忌。决策及安全边界：不是所有宫缩均需抑制，不能延误有指征分娩。本模块给出文书审查原则，不提供可替代现场处方的默认药量。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宫缩抑制决策及执行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4" w:name="b34"/>
      <w:pPr>
        <w:pStyle w:val="Heading2"/>
      </w:pPr>
      <w:r>
        <w:t>促胎肺成熟</w:t>
      </w:r>
      <w:bookmarkEnd w:id="3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必需资料：孕周及短期早产风险、既往疗程和糖代谢。决策及安全边界：不能由孕周推胎肺已成熟，已完成疗程需各剂记录。本模块给出文书审查原则，不提供可替代现场处方的默认药量。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促胎肺成熟决策及执行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7" w:name="b37"/>
      <w:pPr>
        <w:pStyle w:val="Heading2"/>
      </w:pPr>
      <w:r>
        <w:t>围术期抗菌药</w:t>
      </w:r>
      <w:bookmarkEnd w:id="3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必需资料：具体术式切口、感染或预防、过敏和时间。决策及安全边界：预防与感染治疗分开，导管或切口存在不自动延长。本模块给出文书审查原则，不提供可替代现场处方的默认药量。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围术期抗菌药决策及执行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0" w:name="b40"/>
      <w:pPr>
        <w:pStyle w:val="Heading2"/>
      </w:pPr>
      <w:r>
        <w:t>妇科感染抗菌治疗</w:t>
      </w:r>
      <w:bookmarkEnd w:id="4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必需资料：部位病原严重度妊娠及肝肾。决策及安全边界：培养留样、首剂、调整停药各真实，疗程不由模板固定。本模块给出文书审查原则，不提供可替代现场处方的默认药量。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妇科感染抗菌治疗决策及执行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3" w:name="b43"/>
      <w:pPr>
        <w:pStyle w:val="Heading2"/>
      </w:pPr>
      <w:r>
        <w:t>妇科内分泌治疗</w:t>
      </w:r>
      <w:bookmarkEnd w:id="4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必需资料：生育目标、出血原因、乳腺内膜及血栓肝病。决策及安全边界：药物名称和适应证具体，不把所有激素写一种风险。本模块给出文书审查原则，不提供可替代现场处方的默认药量。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妇科内分泌治疗决策及执行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6" w:name="b46"/>
      <w:pPr>
        <w:pStyle w:val="Heading2"/>
      </w:pPr>
      <w:r>
        <w:t>妇科手术镇痛</w:t>
      </w:r>
      <w:bookmarkEnd w:id="4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必需资料：疼痛评价、呼吸肝肾并药及哺乳。决策及安全边界：镇痛后改善须实测，疼痛恶化先排出血器官损伤。本模块给出文书审查原则，不提供可替代现场处方的默认药量。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妇科手术镇痛决策及执行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9" w:name="b49"/>
      <w:pPr>
        <w:pStyle w:val="Heading2"/>
      </w:pPr>
      <w:r>
        <w:t>抗凝及VTE预防</w:t>
      </w:r>
      <w:bookmarkEnd w:id="4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必需资料：实际VTE风险、出血止血、肾功能和麻醉导管。决策及安全边界：风险评分需适用孕产人群，停复与穿刺拔管用真实时点。本模块给出文书审查原则，不提供可替代现场处方的默认药量。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抗凝及VTE预防决策及执行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2" w:name="b52"/>
      <w:pPr>
        <w:pStyle w:val="Heading2"/>
      </w:pPr>
      <w:r>
        <w:t>输血与血制品</w:t>
      </w:r>
      <w:bookmarkEnd w:id="5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必需资料：出血循环Hb凝血血型抗体配血及知情。决策及安全边界：申请备血发血与实际输注不同；单位、品种、数量及反应准确。本模块给出文书审查原则，不提供可替代现场处方的默认药量。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输血与血制品决策及执行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5" w:name="b55"/>
      <w:pPr>
        <w:pStyle w:val="Heading2"/>
      </w:pPr>
      <w:r>
        <w:t>补液及容量</w:t>
      </w:r>
      <w:bookmarkEnd w:id="5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必需资料：出血灌注尿量心肾和已输入量。决策及安全边界：输入去重，子痫前期心病不可机械大量补液。本模块给出文书审查原则，不提供可替代现场处方的默认药量。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补液及容量决策及执行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8" w:name="b58"/>
      <w:pPr>
        <w:pStyle w:val="Heading2"/>
      </w:pPr>
      <w:r>
        <w:t>妊娠药物安全</w:t>
      </w:r>
      <w:bookmarkEnd w:id="5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必需资料：核实孕周、具体分子剂量暴露及母胎风险。决策及安全边界：不凭商品名或一类药推统一安全结论。本模块给出文书审查原则，不提供可替代现场处方的默认药量。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妊娠药物安全决策及执行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1" w:name="b61"/>
      <w:pPr>
        <w:pStyle w:val="Heading2"/>
      </w:pPr>
      <w:r>
        <w:t>哺乳药物安全</w:t>
      </w:r>
      <w:bookmarkEnd w:id="6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必需资料：母体实际方案、婴儿年龄早产和风险。决策及安全边界：不能一概停奶或声称绝对安全，建议与实际喂养分开。本模块给出文书审查原则，不提供可替代现场处方的默认药量。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哺乳药物安全决策及执行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4" w:name="b64"/>
      <w:pPr>
        <w:pStyle w:val="Heading2"/>
      </w:pPr>
      <w:r>
        <w:t>妇科肿瘤综合治疗</w:t>
      </w:r>
      <w:bookmarkEnd w:id="6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必需资料：病理分期分子及器官耐受。决策及安全边界：周期剂量实际执行和毒性，拟治疗不算完成。本模块给出文书审查原则，不提供可替代现场处方的默认药量。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妇科肿瘤综合治疗决策及执行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7" w:name="b67"/>
      <w:pPr>
        <w:pStyle w:val="Heading2"/>
      </w:pPr>
      <w:r>
        <w:t>围术期营养</w:t>
      </w:r>
      <w:bookmarkEnd w:id="6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必需资料：营养评估摄入代谢及器官。决策及安全边界：白蛋白低不自动静滴白蛋白，医嘱不证明已进食。本模块给出文书审查原则，不提供可替代现场处方的默认药量。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围术期营养决策及执行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0" w:name="b70"/>
      <w:pPr>
        <w:pStyle w:val="Heading2"/>
      </w:pPr>
      <w:r>
        <w:t>用药不良反应</w:t>
      </w:r>
      <w:bookmarkEnd w:id="7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必需资料：逐药首次末次、症状与停药再暴露。决策及安全边界：可疑相关和确证过敏区分，不虚构因果。本模块给出文书审查原则，不提供可替代现场处方的默认药量。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用药不良反应决策及执行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3" w:name="b73"/>
      <w:pPr>
        <w:pStyle w:val="Heading2"/>
      </w:pPr>
      <w:r>
        <w:t>出院用药</w:t>
      </w:r>
      <w:bookmarkEnd w:id="7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必需资料：当前实际有效方案及停变。决策及安全边界：完整药物字段和监测期限，禁把旧已停药续到带药。本模块给出文书审查原则，不提供可替代现场处方的默认药量。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出院用药决策及执行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真实问题】，已评估【本治疗的适应证禁忌和个体风险】，医师拟【真实方案及条件】，当前医嘱【真实状态】，实际于【时点】实施【通用名剂型剂量途径频次或操作】，反应【事实】；暂停停用取消或拒绝【真实原因时点】，后续【具体监测与医师复评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6" w:name="b76"/>
      <w:pPr>
        <w:pStyle w:val="Heading1"/>
      </w:pPr>
      <w:r>
        <w:t>输血与出血闭环</w:t>
      </w:r>
      <w:bookmarkEnd w:id="7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血制品逐袋/次保存order_id、品种、规格单位、申请配血发血开始结束、实际输入量及反应来源；患者身份与血型核查依本院制度。不能把U换算mL而不知产品规格；申请4U而实际2U，只写实际2U，剩余退回或未用另列。血红蛋白阈值不脱离失血速度、休克、心肺和止血状态单独自动触发输血。</w:t>
      </w:r>
    </w:p>
    <w:p>
      <w:bookmarkStart w:id="78" w:name="b78"/>
      <w:pPr>
        <w:pStyle w:val="Heading1"/>
      </w:pPr>
      <w:r>
        <w:t>完整虚构病例及可复制拟稿</w:t>
      </w:r>
      <w:bookmarkEnd w:id="7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OB-H/SYN-H/E01、PG-H，D-H登记10月29日，08:00胎儿出生、08:08胎盘娩出。09:00实测累计出血1000mL，宫缩松软，血压88/54mmHg、心率120次/min；09:01实际呼叫上级并开始循环评估，09:02已实施子宫按摩。09:03仅开立缩宫素医嘱，执行剂量时间未提供；09:05实际开始红细胞2U输注，09:20仍在输注中，未提供完成时间，不能写已全部输完。现场医师考虑产后出血、宫缩乏力相关并持续组织抢救；后续结局未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2026年10月29日 09:20 治疗决策与执行核对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产后出血伴循环不稳定。09:03已开立缩宫素医嘱，所提供资料没有执行时间及剂量，不能记录已给予。09:05开始输注红细胞2U，至09:20仍在输注，实际完成量及结束时间需继续核对。子宫按摩已于09:02实施，循环反应和后续止血处置按现场真实记录连续评估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3" w:name="b83"/>
      <w:pPr>
        <w:pStyle w:val="Heading1"/>
      </w:pPr>
      <w:r>
        <w:t>真实性限制与常见错误</w:t>
      </w:r>
      <w:bookmarkEnd w:id="8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医嘱等于已给药，停药后自动续用，凭诊断补剂量。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86" w:name="b86"/>
      <w:pPr>
        <w:pStyle w:val="Heading1"/>
      </w:pPr>
      <w:r>
        <w:t>模块协同及更新维护</w:t>
      </w:r>
      <w:bookmarkEnd w:id="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89" w:name="b89"/>
      <w:pPr>
        <w:pStyle w:val="Heading1"/>
      </w:pPr>
      <w:r>
        <w:t>指南来源与已核验范围</w:t>
      </w:r>
      <w:bookmarkEnd w:id="8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R08 妊娠期高血压疾病诊治指南 2020。发布机构：中华医学会妇产科学分会妊娠期高血压疾病学组。年份及版本：2020 DOI 10.3760/cma.j.cn112141-20200114-00039。适用人群：妊娠期高血压及子痫前期。核验日期：2026-10-30。范围：正式题录摘要已核；本次未取得完整中文原文。本库采用要点：分型需血压时点、基础病及器官和胎盘功能证据，不凭水肿定诊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https:/​/​pubmed.ncbi.nlm.nih.gov/​32375429/​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R09 妊娠期高血糖诊治指南 2022 第一部分。发布机构：中华医学会妇产科学分会产科学组等。年份及版本：2022 DOI 10.3760/cma.j.cn112141-20210917-00528。适用人群：妊娠期高血糖。核验日期：2026-10-30。范围：期刊原文索引和方法信息可核；全文访问不稳定。本库采用要点：区分孕前糖尿病、妊娠期显性糖尿病及GDM；采样条件与孕周对应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https:/​/​cs.medjournals.cn/​article/​en/​doi/​full/​10.3760/​cma.j.cn112141-20210917-00528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R13 产后出血预防与处理指南 2023。发布机构：中华医学会妇产科学分会产科学组 中华医学会围产医学分会。年份及版本：2023 DOI 10.3760/cma.j.cn112141-20230223-00084。适用人群：围分娩及产后出血。核验日期：2026-10-30。范围：学会正式发布索引及检索可见正文核验；直接打开超时。本库采用要点：量化并标注出血时间窗，记录对因止血、复苏、输血及反应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https:/​/​cspm.cma.org.cn/​index/​news?​id=3474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R14 Consolidated guidelines for the prevention diagnosis and treatment of postpartum haemorrhage。发布机构：WHO FIGO ICM。年份及版本：2025-10-05 ISBN 9789240115637。适用人群：孕期 分娩 即刻产后。核验日期：2026-10-30。范围：WHO正式发布页面已核；推荐章节由NCBI官方再版可检索。本库采用要点：早期客观识别并综合处置；国际识别标准与中国院内口径分别注明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https:/​/​www.who.int/​publications/​i/​item/​9789240115637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R19 Caesarean birth NG192。发布机构：NICE。年份及版本：2021 发布 页面更新2025-06-10。适用人群：剖宫产及术后管理。核验日期：2026-10-30。范围：官网PDF及更新说明可核；入口页面直接访问403。本库采用要点：剖宫产讨论、风险和术后管理需以实际指征与执行为准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https:/​/​www.nice.org.uk/​guidance/​ng192/​resources/​caesarean-birth-pdf-66142078788805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R29 外阴阴道假丝酵母菌病中国诊治指南 2024版。发布机构：中华医学会妇产科学分会感染性疾病协作组。年份及版本：2024 中华妇产科杂志59卷7期499至504页。适用人群：VVC含妊娠与复发情形。核验日期：2026-10-30。范围：原期刊目录及后续期刊参考文献可核；未取得稳定完整原文。本库采用要点：症状与真菌证据对应，妊娠期选择须核正式原文和说明书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https:/​/​uatwk.yiigle.com/​cn/​Dzsw0914/​toc/​64113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07_妇产科治疗决策妊娠用药输血及医嘱表达规则库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