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00"/>
      </w:pPr>
      <w:r>
        <w:rPr>
          <w:rFonts w:ascii="Arial" w:hAnsi="Arial" w:eastAsia="宋体"/>
          <w:b/>
          <w:color w:val="000000"/>
          <w:sz w:val="44"/>
        </w:rPr>
        <w:t>09 妇产科产褥康复母婴管理</w:t>
        <w:br/>
        <w:t>出院及长期随访模板库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妇产科AI病历书写系统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模块编号 09    所属层级 第二级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供妇科 产科及母胎医学文书拟稿与病案质控使用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本模块按真实资料形成可复制拟稿，覆盖当前主题的证据、状态、文书及协同规则。模板变量和虚构病例不能进入真实患者事实。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本版为规则库，尚未接入医院电子病历或监护系统。临床诊疗、操作、医嘱和签名由有权限医师实际完成。指南核验层级、模拟测试范围和未核内容在正文列明。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20" w:line="260" w:lineRule="exact"/>
        <w:ind w:left="0"/>
      </w:pPr>
      <w:hyperlink w:anchor="b0">
        <w:r>
          <w:rPr>
            <w:color w:val="000000"/>
            <w:sz w:val="20"/>
          </w:rPr>
          <w:t>模块功能与使用条件</w:t>
        </w:r>
      </w:hyperlink>
    </w:p>
    <w:p>
      <w:pPr>
        <w:spacing w:before="0" w:after="20" w:line="260" w:lineRule="exact"/>
        <w:ind w:left="0"/>
      </w:pPr>
      <w:hyperlink w:anchor="b4">
        <w:r>
          <w:rPr>
            <w:color w:val="000000"/>
            <w:sz w:val="20"/>
          </w:rPr>
          <w:t>正式医学文书输出规则</w:t>
        </w:r>
      </w:hyperlink>
    </w:p>
    <w:p>
      <w:pPr>
        <w:spacing w:before="0" w:after="20" w:line="260" w:lineRule="exact"/>
        <w:ind w:left="0"/>
      </w:pPr>
      <w:hyperlink w:anchor="b7">
        <w:r>
          <w:rPr>
            <w:color w:val="000000"/>
            <w:sz w:val="20"/>
          </w:rPr>
          <w:t>母体恢复及妇科随访的27项闭环</w:t>
        </w:r>
      </w:hyperlink>
    </w:p>
    <w:p>
      <w:pPr>
        <w:spacing w:before="0" w:after="20" w:line="260" w:lineRule="exact"/>
        <w:ind w:left="216"/>
      </w:pPr>
      <w:hyperlink w:anchor="b8">
        <w:r>
          <w:rPr>
            <w:color w:val="000000"/>
            <w:sz w:val="20"/>
          </w:rPr>
          <w:t>产后生命体征</w:t>
        </w:r>
      </w:hyperlink>
    </w:p>
    <w:p>
      <w:pPr>
        <w:spacing w:before="0" w:after="20" w:line="260" w:lineRule="exact"/>
        <w:ind w:left="216"/>
      </w:pPr>
      <w:hyperlink w:anchor="b10">
        <w:r>
          <w:rPr>
            <w:color w:val="000000"/>
            <w:sz w:val="20"/>
          </w:rPr>
          <w:t>子宫复旧</w:t>
        </w:r>
      </w:hyperlink>
    </w:p>
    <w:p>
      <w:pPr>
        <w:spacing w:before="0" w:after="20" w:line="260" w:lineRule="exact"/>
        <w:ind w:left="216"/>
      </w:pPr>
      <w:hyperlink w:anchor="b12">
        <w:r>
          <w:rPr>
            <w:color w:val="000000"/>
            <w:sz w:val="20"/>
          </w:rPr>
          <w:t>恶露</w:t>
        </w:r>
      </w:hyperlink>
    </w:p>
    <w:p>
      <w:pPr>
        <w:spacing w:before="0" w:after="20" w:line="260" w:lineRule="exact"/>
        <w:ind w:left="216"/>
      </w:pPr>
      <w:hyperlink w:anchor="b14">
        <w:r>
          <w:rPr>
            <w:color w:val="000000"/>
            <w:sz w:val="20"/>
          </w:rPr>
          <w:t>会阴及切口</w:t>
        </w:r>
      </w:hyperlink>
    </w:p>
    <w:p>
      <w:pPr>
        <w:spacing w:before="0" w:after="20" w:line="260" w:lineRule="exact"/>
        <w:ind w:left="216"/>
      </w:pPr>
      <w:hyperlink w:anchor="b16">
        <w:r>
          <w:rPr>
            <w:color w:val="000000"/>
            <w:sz w:val="20"/>
          </w:rPr>
          <w:t>剖宫产恢复</w:t>
        </w:r>
      </w:hyperlink>
    </w:p>
    <w:p>
      <w:pPr>
        <w:spacing w:before="0" w:after="20" w:line="260" w:lineRule="exact"/>
        <w:ind w:left="216"/>
      </w:pPr>
      <w:hyperlink w:anchor="b18">
        <w:r>
          <w:rPr>
            <w:color w:val="000000"/>
            <w:sz w:val="20"/>
          </w:rPr>
          <w:t>阴道分娩恢复</w:t>
        </w:r>
      </w:hyperlink>
    </w:p>
    <w:p>
      <w:pPr>
        <w:spacing w:before="0" w:after="20" w:line="260" w:lineRule="exact"/>
        <w:ind w:left="216"/>
      </w:pPr>
      <w:hyperlink w:anchor="b20">
        <w:r>
          <w:rPr>
            <w:color w:val="000000"/>
            <w:sz w:val="20"/>
          </w:rPr>
          <w:t>产后出血后随访</w:t>
        </w:r>
      </w:hyperlink>
    </w:p>
    <w:p>
      <w:pPr>
        <w:spacing w:before="0" w:after="20" w:line="260" w:lineRule="exact"/>
        <w:ind w:left="216"/>
      </w:pPr>
      <w:hyperlink w:anchor="b22">
        <w:r>
          <w:rPr>
            <w:color w:val="000000"/>
            <w:sz w:val="20"/>
          </w:rPr>
          <w:t>产后贫血</w:t>
        </w:r>
      </w:hyperlink>
    </w:p>
    <w:p>
      <w:pPr>
        <w:spacing w:before="0" w:after="20" w:line="260" w:lineRule="exact"/>
        <w:ind w:left="216"/>
      </w:pPr>
      <w:hyperlink w:anchor="b24">
        <w:r>
          <w:rPr>
            <w:color w:val="000000"/>
            <w:sz w:val="20"/>
          </w:rPr>
          <w:t>产褥感染</w:t>
        </w:r>
      </w:hyperlink>
    </w:p>
    <w:p>
      <w:pPr>
        <w:spacing w:before="0" w:after="20" w:line="260" w:lineRule="exact"/>
        <w:ind w:left="216"/>
      </w:pPr>
      <w:hyperlink w:anchor="b26">
        <w:r>
          <w:rPr>
            <w:color w:val="000000"/>
            <w:sz w:val="20"/>
          </w:rPr>
          <w:t>母乳喂养指导</w:t>
        </w:r>
      </w:hyperlink>
    </w:p>
    <w:p>
      <w:pPr>
        <w:spacing w:before="0" w:after="20" w:line="260" w:lineRule="exact"/>
        <w:ind w:left="216"/>
      </w:pPr>
      <w:hyperlink w:anchor="b28">
        <w:r>
          <w:rPr>
            <w:color w:val="000000"/>
            <w:sz w:val="20"/>
          </w:rPr>
          <w:t>产后疼痛</w:t>
        </w:r>
      </w:hyperlink>
    </w:p>
    <w:p>
      <w:pPr>
        <w:spacing w:before="0" w:after="20" w:line="260" w:lineRule="exact"/>
        <w:ind w:left="216"/>
      </w:pPr>
      <w:hyperlink w:anchor="b30">
        <w:r>
          <w:rPr>
            <w:color w:val="000000"/>
            <w:sz w:val="20"/>
          </w:rPr>
          <w:t>排尿排便</w:t>
        </w:r>
      </w:hyperlink>
    </w:p>
    <w:p>
      <w:pPr>
        <w:spacing w:before="0" w:after="20" w:line="260" w:lineRule="exact"/>
        <w:ind w:left="216"/>
      </w:pPr>
      <w:hyperlink w:anchor="b32">
        <w:r>
          <w:rPr>
            <w:color w:val="000000"/>
            <w:sz w:val="20"/>
          </w:rPr>
          <w:t>产后血栓风险</w:t>
        </w:r>
      </w:hyperlink>
    </w:p>
    <w:p>
      <w:pPr>
        <w:spacing w:before="0" w:after="20" w:line="260" w:lineRule="exact"/>
        <w:ind w:left="216"/>
      </w:pPr>
      <w:hyperlink w:anchor="b34">
        <w:r>
          <w:rPr>
            <w:color w:val="000000"/>
            <w:sz w:val="20"/>
          </w:rPr>
          <w:t>盆底康复</w:t>
        </w:r>
      </w:hyperlink>
    </w:p>
    <w:p>
      <w:pPr>
        <w:spacing w:before="0" w:after="20" w:line="260" w:lineRule="exact"/>
        <w:ind w:left="216"/>
      </w:pPr>
      <w:hyperlink w:anchor="b36">
        <w:r>
          <w:rPr>
            <w:color w:val="000000"/>
            <w:sz w:val="20"/>
          </w:rPr>
          <w:t>心理筛查及转介</w:t>
        </w:r>
      </w:hyperlink>
    </w:p>
    <w:p>
      <w:pPr>
        <w:spacing w:before="0" w:after="20" w:line="260" w:lineRule="exact"/>
        <w:ind w:left="216"/>
      </w:pPr>
      <w:hyperlink w:anchor="b38">
        <w:r>
          <w:rPr>
            <w:color w:val="000000"/>
            <w:sz w:val="20"/>
          </w:rPr>
          <w:t>避孕生育咨询</w:t>
        </w:r>
      </w:hyperlink>
    </w:p>
    <w:p>
      <w:pPr>
        <w:spacing w:before="0" w:after="20" w:line="260" w:lineRule="exact"/>
        <w:ind w:left="216"/>
      </w:pPr>
      <w:hyperlink w:anchor="b40">
        <w:r>
          <w:rPr>
            <w:color w:val="000000"/>
            <w:sz w:val="20"/>
          </w:rPr>
          <w:t>妊娠期高血糖产后复查</w:t>
        </w:r>
      </w:hyperlink>
    </w:p>
    <w:p>
      <w:pPr>
        <w:spacing w:before="0" w:after="20" w:line="260" w:lineRule="exact"/>
        <w:ind w:left="216"/>
      </w:pPr>
      <w:hyperlink w:anchor="b42">
        <w:r>
          <w:rPr>
            <w:color w:val="000000"/>
            <w:sz w:val="20"/>
          </w:rPr>
          <w:t>妊娠期高血压产后随访</w:t>
        </w:r>
      </w:hyperlink>
    </w:p>
    <w:p>
      <w:pPr>
        <w:spacing w:before="0" w:after="20" w:line="260" w:lineRule="exact"/>
        <w:ind w:left="216"/>
      </w:pPr>
      <w:hyperlink w:anchor="b44">
        <w:r>
          <w:rPr>
            <w:color w:val="000000"/>
            <w:sz w:val="20"/>
          </w:rPr>
          <w:t>妇科良性疾病术后</w:t>
        </w:r>
      </w:hyperlink>
    </w:p>
    <w:p>
      <w:pPr>
        <w:spacing w:before="0" w:after="20" w:line="260" w:lineRule="exact"/>
        <w:ind w:left="216"/>
      </w:pPr>
      <w:hyperlink w:anchor="b46">
        <w:r>
          <w:rPr>
            <w:color w:val="000000"/>
            <w:sz w:val="20"/>
          </w:rPr>
          <w:t>妇科肿瘤术后</w:t>
        </w:r>
      </w:hyperlink>
    </w:p>
    <w:p>
      <w:pPr>
        <w:spacing w:before="0" w:after="20" w:line="260" w:lineRule="exact"/>
        <w:ind w:left="216"/>
      </w:pPr>
      <w:hyperlink w:anchor="b48">
        <w:r>
          <w:rPr>
            <w:color w:val="000000"/>
            <w:sz w:val="20"/>
          </w:rPr>
          <w:t>宫腔镜腹腔镜随访</w:t>
        </w:r>
      </w:hyperlink>
    </w:p>
    <w:p>
      <w:pPr>
        <w:spacing w:before="0" w:after="20" w:line="260" w:lineRule="exact"/>
        <w:ind w:left="216"/>
      </w:pPr>
      <w:hyperlink w:anchor="b50">
        <w:r>
          <w:rPr>
            <w:color w:val="000000"/>
            <w:sz w:val="20"/>
          </w:rPr>
          <w:t>生殖内分泌长期管理</w:t>
        </w:r>
      </w:hyperlink>
    </w:p>
    <w:p>
      <w:pPr>
        <w:spacing w:before="0" w:after="20" w:line="260" w:lineRule="exact"/>
        <w:ind w:left="216"/>
      </w:pPr>
      <w:hyperlink w:anchor="b52">
        <w:r>
          <w:rPr>
            <w:color w:val="000000"/>
            <w:sz w:val="20"/>
          </w:rPr>
          <w:t>出院诊断核对</w:t>
        </w:r>
      </w:hyperlink>
    </w:p>
    <w:p>
      <w:pPr>
        <w:spacing w:before="0" w:after="20" w:line="260" w:lineRule="exact"/>
        <w:ind w:left="216"/>
      </w:pPr>
      <w:hyperlink w:anchor="b54">
        <w:r>
          <w:rPr>
            <w:color w:val="000000"/>
            <w:sz w:val="20"/>
          </w:rPr>
          <w:t>出院用药</w:t>
        </w:r>
      </w:hyperlink>
    </w:p>
    <w:p>
      <w:pPr>
        <w:spacing w:before="0" w:after="20" w:line="260" w:lineRule="exact"/>
        <w:ind w:left="216"/>
      </w:pPr>
      <w:hyperlink w:anchor="b56">
        <w:r>
          <w:rPr>
            <w:color w:val="000000"/>
            <w:sz w:val="20"/>
          </w:rPr>
          <w:t>未回病理跟踪</w:t>
        </w:r>
      </w:hyperlink>
    </w:p>
    <w:p>
      <w:pPr>
        <w:spacing w:before="0" w:after="20" w:line="260" w:lineRule="exact"/>
        <w:ind w:left="216"/>
      </w:pPr>
      <w:hyperlink w:anchor="b58">
        <w:r>
          <w:rPr>
            <w:color w:val="000000"/>
            <w:sz w:val="20"/>
          </w:rPr>
          <w:t>危险症状及返院</w:t>
        </w:r>
      </w:hyperlink>
    </w:p>
    <w:p>
      <w:pPr>
        <w:spacing w:before="0" w:after="20" w:line="260" w:lineRule="exact"/>
        <w:ind w:left="216"/>
      </w:pPr>
      <w:hyperlink w:anchor="b60">
        <w:r>
          <w:rPr>
            <w:color w:val="000000"/>
            <w:sz w:val="20"/>
          </w:rPr>
          <w:t>复诊计划</w:t>
        </w:r>
      </w:hyperlink>
    </w:p>
    <w:p>
      <w:pPr>
        <w:spacing w:before="0" w:after="20" w:line="260" w:lineRule="exact"/>
        <w:ind w:left="0"/>
      </w:pPr>
      <w:hyperlink w:anchor="b65">
        <w:r>
          <w:rPr>
            <w:color w:val="000000"/>
            <w:sz w:val="20"/>
          </w:rPr>
          <w:t>完整虚构病例及可复制拟稿</w:t>
        </w:r>
      </w:hyperlink>
    </w:p>
    <w:p>
      <w:pPr>
        <w:spacing w:before="0" w:after="20" w:line="260" w:lineRule="exact"/>
        <w:ind w:left="0"/>
      </w:pPr>
      <w:hyperlink w:anchor="b70">
        <w:r>
          <w:rPr>
            <w:color w:val="000000"/>
            <w:sz w:val="20"/>
          </w:rPr>
          <w:t>真实性限制与常见错误</w:t>
        </w:r>
      </w:hyperlink>
    </w:p>
    <w:p>
      <w:pPr>
        <w:spacing w:before="0" w:after="20" w:line="260" w:lineRule="exact"/>
        <w:ind w:left="0"/>
      </w:pPr>
      <w:hyperlink w:anchor="b73">
        <w:r>
          <w:rPr>
            <w:color w:val="000000"/>
            <w:sz w:val="20"/>
          </w:rPr>
          <w:t>模块协同及更新维护</w:t>
        </w:r>
      </w:hyperlink>
    </w:p>
    <w:p>
      <w:pPr>
        <w:spacing w:before="0" w:after="20" w:line="260" w:lineRule="exact"/>
        <w:ind w:left="0"/>
      </w:pPr>
      <w:hyperlink w:anchor="b76">
        <w:r>
          <w:rPr>
            <w:color w:val="000000"/>
            <w:sz w:val="20"/>
          </w:rPr>
          <w:t>指南来源与已核验范围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模块功能与使用条件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功能定位：产褥恢复母婴必要关联与妇科出院长期随访。适用中国医院妇科病房、产科高危病房、产房、手术及产褥随访；仅处理本模块相关任务。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自动调用条件：产后每日复评、手术恢复、出院及未回结果。必需资料：实际分娩或手术日期、当次恢复、带药和责任明确的复查。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真实患者资料高于模板。每条事实须绑定patient_id、encounter_id、pregnancy_id（适用时）、fetus_id或lesion_id、delivery_id或procedure_id、event_time、recorded_at、available_at、source_id及核验状态。未知、未检查、有依据阴性与不适用分别记录。医学知识、建议、医师计划、已开医嘱、实际执行、暂停、停止、取消和拒绝不得互换。模拟病例只用于教学，不进入患者事实。</w:t>
      </w:r>
    </w:p>
    <w:p>
      <w:bookmarkStart w:id="4" w:name="b4"/>
      <w:pPr>
        <w:pStyle w:val="Heading1"/>
      </w:pPr>
      <w:r>
        <w:t>正式医学文书输出规则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按01输出协议和10终审执行。题头在text代码框外；日常病程及三级查房正文一整段。产程、手术、分娩和抢救保留必要结构与真实事件时间。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规则库用于医师审核前拟稿、证据整理及质控。未连接医院EMR、胎心监护仪、产程系统或数据库，未实现后台自动读取或跨会话可靠记忆；文档中的自动调用是AI实际读取模块后执行的协议。不得替代医师诊疗、处方、助产、手术、知情同意或签名。</w:t>
      </w:r>
    </w:p>
    <w:p>
      <w:bookmarkStart w:id="7" w:name="b7"/>
      <w:pPr>
        <w:pStyle w:val="Heading1"/>
      </w:pPr>
      <w:r>
        <w:t>母体恢复及妇科随访的27项闭环</w:t>
      </w:r>
      <w:bookmarkEnd w:id="7"/>
    </w:p>
    <w:p>
      <w:bookmarkStart w:id="8" w:name="b8"/>
      <w:pPr>
        <w:pStyle w:val="Heading2"/>
      </w:pPr>
      <w:r>
        <w:t>产后生命体征</w:t>
      </w:r>
      <w:bookmarkEnd w:id="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当前体温脉搏血压呼吸氧合及危险症状，不继承分娩时值。</w:t>
      </w:r>
    </w:p>
    <w:p>
      <w:bookmarkStart w:id="10" w:name="b10"/>
      <w:pPr>
        <w:pStyle w:val="Heading2"/>
      </w:pPr>
      <w:r>
        <w:t>子宫复旧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宫底宫缩压痛等实查有时点，分娩完成不等复旧良好。</w:t>
      </w:r>
    </w:p>
    <w:p>
      <w:bookmarkStart w:id="12" w:name="b12"/>
      <w:pPr>
        <w:pStyle w:val="Heading2"/>
      </w:pPr>
      <w:r>
        <w:t>恶露</w:t>
      </w:r>
      <w:bookmarkEnd w:id="1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颜色量气味及变化、量化方法，未观察不写正常。</w:t>
      </w:r>
    </w:p>
    <w:p>
      <w:bookmarkStart w:id="14" w:name="b14"/>
      <w:pPr>
        <w:pStyle w:val="Heading2"/>
      </w:pPr>
      <w:r>
        <w:t>会阴及切口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疼痛出血红肿渗液和实际检查，缝合不等愈合。</w:t>
      </w:r>
    </w:p>
    <w:p>
      <w:bookmarkStart w:id="16" w:name="b16"/>
      <w:pPr>
        <w:pStyle w:val="Heading2"/>
      </w:pPr>
      <w:r>
        <w:t>剖宫产恢复</w:t>
      </w:r>
      <w:bookmarkEnd w:id="1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切口腹征排尿排气进食活动分别事实，允许活动不等已走。</w:t>
      </w:r>
    </w:p>
    <w:p>
      <w:bookmarkStart w:id="18" w:name="b18"/>
      <w:pPr>
        <w:pStyle w:val="Heading2"/>
      </w:pPr>
      <w:r>
        <w:t>阴道分娩恢复</w:t>
      </w:r>
      <w:bookmarkEnd w:id="1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产道损伤修补、排尿盆底及失血，不沿用剖宫产切口模板。</w:t>
      </w:r>
    </w:p>
    <w:p>
      <w:bookmarkStart w:id="20" w:name="b20"/>
      <w:pPr>
        <w:pStyle w:val="Heading2"/>
      </w:pPr>
      <w:r>
        <w:t>产后出血后随访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迟发出血、贫血器官及心理风险，原因与下次妊娠预防衔接。</w:t>
      </w:r>
    </w:p>
    <w:p>
      <w:bookmarkStart w:id="22" w:name="b22"/>
      <w:pPr>
        <w:pStyle w:val="Heading2"/>
      </w:pPr>
      <w:r>
        <w:t>产后贫血</w:t>
      </w:r>
      <w:bookmarkEnd w:id="2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失血病因Hb症状及铁等实际治疗和复查期限。</w:t>
      </w:r>
    </w:p>
    <w:p>
      <w:bookmarkStart w:id="24" w:name="b24"/>
      <w:pPr>
        <w:pStyle w:val="Heading2"/>
      </w:pPr>
      <w:r>
        <w:t>产褥感染</w:t>
      </w:r>
      <w:bookmarkEnd w:id="2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子宫会阴切口泌尿乳房等症状及病原，不单一发热定病。</w:t>
      </w:r>
    </w:p>
    <w:p>
      <w:bookmarkStart w:id="26" w:name="b26"/>
      <w:pPr>
        <w:pStyle w:val="Heading2"/>
      </w:pPr>
      <w:r>
        <w:t>母乳喂养指导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患者真实选择、喂养方法与困难、乳房实查及建议，不写默认母乳成功。</w:t>
      </w:r>
    </w:p>
    <w:p>
      <w:bookmarkStart w:id="28" w:name="b28"/>
      <w:pPr>
        <w:pStyle w:val="Heading2"/>
      </w:pPr>
      <w:r>
        <w:t>产后疼痛</w:t>
      </w:r>
      <w:bookmarkEnd w:id="2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部位程度量表原分及用药反应，升级疼痛先排血肿感染。</w:t>
      </w:r>
    </w:p>
    <w:p>
      <w:bookmarkStart w:id="30" w:name="b30"/>
      <w:pPr>
        <w:pStyle w:val="Heading2"/>
      </w:pPr>
      <w:r>
        <w:t>排尿排便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尿潴留残余尿导管状态、便秘失禁和损伤，拔管不等排尿正常。</w:t>
      </w:r>
    </w:p>
    <w:p>
      <w:bookmarkStart w:id="32" w:name="b32"/>
      <w:pPr>
        <w:pStyle w:val="Heading2"/>
      </w:pPr>
      <w:r>
        <w:t>产后血栓风险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妊娠特异风险、出血止血麻醉及实际预防；风险不等血栓确诊。</w:t>
      </w:r>
    </w:p>
    <w:p>
      <w:bookmarkStart w:id="34" w:name="b34"/>
      <w:pPr>
        <w:pStyle w:val="Heading2"/>
      </w:pPr>
      <w:r>
        <w:t>盆底康复</w:t>
      </w:r>
      <w:bookmarkEnd w:id="3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症状实查许可、实际练习和反应，复杂疼痛不统一加力量。</w:t>
      </w:r>
    </w:p>
    <w:p>
      <w:bookmarkStart w:id="36" w:name="b36"/>
      <w:pPr>
        <w:pStyle w:val="Heading2"/>
      </w:pPr>
      <w:r>
        <w:t>心理筛查及转介</w:t>
      </w:r>
      <w:bookmarkEnd w:id="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方法分项实际分值、自伤或伤婴意念等需即时现场评估，量表不代诊断。</w:t>
      </w:r>
    </w:p>
    <w:p>
      <w:bookmarkStart w:id="38" w:name="b38"/>
      <w:pPr>
        <w:pStyle w:val="Heading2"/>
      </w:pPr>
      <w:r>
        <w:t>避孕生育咨询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意愿、喂养、血栓及手术相关风险，选择和实际采取分开。</w:t>
      </w:r>
    </w:p>
    <w:p>
      <w:bookmarkStart w:id="40" w:name="b40"/>
      <w:pPr>
        <w:pStyle w:val="Heading2"/>
      </w:pPr>
      <w:r>
        <w:t>妊娠期高血糖产后复查</w:t>
      </w:r>
      <w:bookmarkEnd w:id="4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糖代谢复查有时点方法及长期风险责任，孕期用药产后重评。</w:t>
      </w:r>
    </w:p>
    <w:p>
      <w:bookmarkStart w:id="42" w:name="b42"/>
      <w:pPr>
        <w:pStyle w:val="Heading2"/>
      </w:pPr>
      <w:r>
        <w:t>妊娠期高血压产后随访</w:t>
      </w:r>
      <w:bookmarkEnd w:id="4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早期及后续血压症状器官、停复药，产后仍可发生重症。</w:t>
      </w:r>
    </w:p>
    <w:p>
      <w:bookmarkStart w:id="44" w:name="b44"/>
      <w:pPr>
        <w:pStyle w:val="Heading2"/>
      </w:pPr>
      <w:r>
        <w:t>妇科良性疾病术后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切口症状Hb器官与正式病理，保宫手术后生育建议据真实范围。</w:t>
      </w:r>
    </w:p>
    <w:p>
      <w:bookmarkStart w:id="46" w:name="b46"/>
      <w:pPr>
        <w:pStyle w:val="Heading2"/>
      </w:pPr>
      <w:r>
        <w:t>妇科肿瘤术后</w:t>
      </w:r>
      <w:bookmarkEnd w:id="4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分期版本、分子待回、综合治疗转诊和真实接收，不套良性复诊。</w:t>
      </w:r>
    </w:p>
    <w:p>
      <w:bookmarkStart w:id="48" w:name="b48"/>
      <w:pPr>
        <w:pStyle w:val="Heading2"/>
      </w:pPr>
      <w:r>
        <w:t>宫腔镜腹腔镜随访</w:t>
      </w:r>
      <w:bookmarkEnd w:id="4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出血发热腹痛尿便、病理及特异并发症，微创不等无风险。</w:t>
      </w:r>
    </w:p>
    <w:p>
      <w:bookmarkStart w:id="50" w:name="b50"/>
      <w:pPr>
        <w:pStyle w:val="Heading2"/>
      </w:pPr>
      <w:r>
        <w:t>生殖内分泌长期管理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月经生育代谢骨和用药风险按目标复评，不仅复制单次激素。</w:t>
      </w:r>
    </w:p>
    <w:p>
      <w:bookmarkStart w:id="52" w:name="b52"/>
      <w:pPr>
        <w:pStyle w:val="Heading2"/>
      </w:pPr>
      <w:r>
        <w:t>出院诊断核对</w:t>
      </w:r>
      <w:bookmarkEnd w:id="5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入院、术中、正式病理和当前诊断版本分别，待查不写已排除。</w:t>
      </w:r>
    </w:p>
    <w:p>
      <w:bookmarkStart w:id="54" w:name="b54"/>
      <w:pPr>
        <w:pStyle w:val="Heading2"/>
      </w:pPr>
      <w:r>
        <w:t>出院用药</w:t>
      </w:r>
      <w:bookmarkEnd w:id="5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每药通用名剂型剂量途径频次疗程、停变及妊娠哺乳审查。</w:t>
      </w:r>
    </w:p>
    <w:p>
      <w:bookmarkStart w:id="56" w:name="b56"/>
      <w:pPr>
        <w:pStyle w:val="Heading2"/>
      </w:pPr>
      <w:r>
        <w:t>未回病理跟踪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标本ID、预计回报、责任人员、通知与复诊升级；未取材不写待回。</w:t>
      </w:r>
    </w:p>
    <w:p>
      <w:bookmarkStart w:id="58" w:name="b58"/>
      <w:pPr>
        <w:pStyle w:val="Heading2"/>
      </w:pPr>
      <w:r>
        <w:t>危险症状及返院</w:t>
      </w:r>
      <w:bookmarkEnd w:id="5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大量或持续出血、发热加重腹痛、头痛视觉异常、呼吸胸痛晕厥腿肿等按病情选择。</w:t>
      </w:r>
    </w:p>
    <w:p>
      <w:bookmarkStart w:id="60" w:name="b60"/>
      <w:pPr>
        <w:pStyle w:val="Heading2"/>
      </w:pPr>
      <w:r>
        <w:t>复诊计划</w:t>
      </w:r>
      <w:bookmarkEnd w:id="6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具体时间或触发条件、科室项目、待回结果责任和联系流程。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产褥期出院记录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分娩事件：【真实方式时间、delivery_id和必要母婴关联】</w:t>
        <w:br/>
        <w:t>住院经过：【真实母体治疗及分娩处理】</w:t>
        <w:br/>
        <w:t>出院诊断：【最终证据与未决事项】</w:t>
        <w:br/>
        <w:t>出院时情况：【生命体征宫缩恶露会阴切口排尿等实际所见】</w:t>
        <w:br/>
        <w:t>出院医嘱：【母体带药、喂养建议、危险症状、血压糖代谢或盆底复查及责任】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【日期时间】 妇科手术后出院记录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入出院诊断：【证据与版本】</w:t>
        <w:br/>
        <w:t>住院经过：【实际术式侧别范围、治疗和病理时间】</w:t>
        <w:br/>
        <w:t>出院情况：【症状切口腹部尿便活动及实检】</w:t>
        <w:br/>
        <w:t>带药及活动：【确认方案】</w:t>
        <w:br/>
        <w:t>病理未决及后续治疗：【真实状态、跟踪人、复诊科室时间】</w:t>
        <w:br/>
        <w:t>返院指征：【个体风险】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新生儿专属诊疗由实际儿科/新生儿科承担。母亲病历可记录已核实出生情况、实际交接及影响母体计划的必要事实，不能补入新生儿未提供的血糖、感染、复苏和住院全过程。母婴是否同室、喂养或分别出院均需真实来源。</w:t>
      </w:r>
    </w:p>
    <w:p>
      <w:bookmarkStart w:id="65" w:name="b65"/>
      <w:pPr>
        <w:pStyle w:val="Heading1"/>
      </w:pPr>
      <w:r>
        <w:t>完整虚构病例及可复制拟稿</w:t>
      </w:r>
      <w:bookmarkEnd w:id="6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以下为完全虚构教学案例，所有数值、身份和医师意见均人工构造，不是当前患者资料。只在相应情境重放，不作为任何真实事实来源。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虚构输入与来源台账：虚构OB-D/SYN-D/E01、PG-D/FA，32岁，入院时G2P1，已核EDD2026年10月30日。D01分娩登记日期10月29日。05:00有规律宫缩并进行性宫颈改变，07:30实际宫口开全，08:00经自然阴道分娩出生N-D；由定位和真实交接表已确认FA对应N-D。出生体重3200g，1min Apgar9分、5min10分，08:08胎盘娩出，实际检查胎盘胎膜完整，会阴Ⅰ度裂伤已修补，操作者和修补细节见演示原始记录。产后2h累计实测出血300mL，10:00血压116/72mmHg、脉搏84次/min、宫缩可。无所提供输血记录，药物给药未提供，不予补写。10月30日09:00当次血压116/72mmHg，宫缩可、恶露少，已自行排尿。患者实际选择母乳喂养并自述含接困难，已联系喂养指导，未提供指导完成及成功结果。医师确认出院复诊和危险症状说明，未开出院带药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调用与终审：按00及11识别对象和阶段，调用本模块及所需通用/专病；10核验来源、对象、时间和执行。下列为该虚构输入下可形成的拟稿或阻断说明。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10:00 产褥期出院记录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住院经过：10月29日自然阴道分娩，会阴Ⅰ度裂伤已修补，产后2h累计实测出血300mL。</w:t>
        <w:br/>
        <w:t>出院诊断：分娩后产褥状态，会阴Ⅰ度裂伤修补后。</w:t>
        <w:br/>
        <w:t>出院时情况：产后第1日，血压116/72mmHg，宫缩可、恶露少，已自行排尿。患者选择母乳喂养，自述含接困难，已联系指导，尚无完成效果记录。</w:t>
        <w:br/>
        <w:t>出院医嘱：按医师确认计划复诊并接受喂养支持；大量或持续出血、发热、加重腹痛、头痛视觉异常或呼吸困难等及时就诊。本次未开出院带药。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70" w:name="b70"/>
      <w:pPr>
        <w:pStyle w:val="Heading1"/>
      </w:pPr>
      <w:r>
        <w:t>真实性限制与常见错误</w:t>
      </w:r>
      <w:bookmarkEnd w:id="7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分娩完成即写复旧良好，指导过即写喂养成功，未回病理无人跟踪。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质控清单：核患者双标识及住院次；核妊娠、胎儿或病灶、分娩及操作事件；核发生时间与资料可知时间；核诊断证据、部位侧别、计划与执行；核当日实查、真实上级意见、未回结果责任及代码框。严重冲突按10暂停受影响净稿，不能用省略关键问题掩盖冲突。</w:t>
      </w:r>
    </w:p>
    <w:p>
      <w:bookmarkStart w:id="73" w:name="b73"/>
      <w:pPr>
        <w:pStyle w:val="Heading1"/>
      </w:pPr>
      <w:r>
        <w:t>模块协同及更新维护</w:t>
      </w:r>
      <w:bookmarkEnd w:id="7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00识别任务→01最高约束→11病例状态→相关02至09→相关101至108→10终审→正式输出。只读取最小充分模块，多病联合时不重复生成矛盾医嘱。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，编制及检索截止2026年10月30日。维护须由医院指定妇科、产科、母胎医学、病理、药学及病案负责人实际审校；本次无真人专家签核，不虚构专家认证。至少季度复核，正式法规、指南、药品说明书或院内制度更新即修订，保留版本和变更依据并回测受影响场景。患者资料和临床输出不得写回通用模板或Skill。</w:t>
      </w:r>
    </w:p>
    <w:p>
      <w:bookmarkStart w:id="76" w:name="b76"/>
      <w:pPr>
        <w:pStyle w:val="Heading1"/>
      </w:pPr>
      <w:r>
        <w:t>指南来源与已核验范围</w:t>
      </w:r>
      <w:bookmarkEnd w:id="7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区分正式正文、题录摘要、搜索索引可见和未获全文。具体未核推荐、证据等级、处方剂量及技术阈值均不补造。国外指南用于适用情况下的补充，不能取代中国有效法规和本院批准流程。完整42项登记及30类需求对应见根目录指南核验清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R07 孕产妇妊娠风险评估与管理工作规范。发布机构：国家卫生计生委办公厅。年份及版本：2017 国卫办妇幼发〔2017〕35号。适用人群：妊娠至产后42天。核验日期：2026-10-30。范围：官方正文可核。本库采用要点：初评及病情变化后的动态评估，分级有日期和依据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https:/​/​www.nhc.gov.cn/​fys/​gzbs/​201711/​c940e3204de64ee8bd074ad05f5a6548.shtml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R09 妊娠期高血糖诊治指南 2022 第一部分。发布机构：中华医学会妇产科学分会产科学组等。年份及版本：2022 DOI 10.3760/cma.j.cn112141-20210917-00528。适用人群：妊娠期高血糖。核验日期：2026-10-30。范围：期刊原文索引和方法信息可核；全文访问不稳定。本库采用要点：区分孕前糖尿病、妊娠期显性糖尿病及GDM；采样条件与孕周对应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https:/​/​cs.medjournals.cn/​article/​en/​doi/​full/​10.3760/​cma.j.cn112141-20210917-00528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R20 WHO recommendations on maternal and newborn care for a positive postnatal experience。发布机构：WHO。年份及版本：2022 ISBN 9789240045989。适用人群：产后6周母婴照护。核验日期：2026-10-30。范围：官方发布页及范围可核。本库采用要点：躯体恢复、喂养、心理健康和转介分别记录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https:/​/​www.who.int/​publications-detail-redirect/​9789240045989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R32 Urinary incontinence and pelvic organ prolapse in women management NG123。发布机构：NICE。年份及版本：2019。适用人群：成年女性尿失禁与POP。核验日期：2026-10-30。范围：官网推荐页面可核。本库采用要点：症状、POP Q实测及尿动力学结果分开；保守与手术按个体目标决策。证据等级：未逐条复核原文推荐强度及证据质量，不赋自定等级。更新状态：仅确认本次检索到的正式版本或页面更新日期；不据未检出断言绝对最新。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https:/​/​www.nice.org.uk/​guidance/​ng123/​chapter/​Recommendations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R42 孕产期保健工作管理办法及工作规范。发布机构：卫生部。年份及版本：2011文件 官网2013重发。适用人群：孕产期保健。核验日期：2026-10-30。范围：官方正式发布及搜索索引可见管理条款已核；直接打开412，未声称逐字阅读全文。本库采用要点：连续产检高危管理产后访视及质量评估。证据等级：管理规范，不使用临床GRADE。更新状态：仅确认本次检索到的正式版本或页面更新日期；不据未检出断言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https:/​/​www.nhc.gov.cn/​zwgk/​wtwj/​201304/​84ec2d5d37a54398ace49df48ca91c83.shtml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123" w:left="1152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妇产科AI病历书写系统 V1.0    模块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09_妇产科产褥康复母婴管理出院及长期随访模板库</dc:title>
  <dc:subject>妇产科医学文书规则及模板</dc:subject>
  <dc:creator>妇产科AI病历规则库</dc:creator>
  <cp:keywords>V1.0 医师审核 2026-10-30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