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00"/>
      </w:pPr>
      <w:r>
        <w:rPr>
          <w:rFonts w:ascii="Arial" w:hAnsi="Arial" w:eastAsia="宋体"/>
          <w:b/>
          <w:color w:val="000000"/>
          <w:sz w:val="44"/>
        </w:rPr>
        <w:t>106 妇科恶性肿瘤癌前病变</w:t>
        <w:br/>
        <w:t>及妊娠滋养细胞疾病模板库</w:t>
      </w:r>
    </w:p>
    <w:p>
      <w:pPr>
        <w:pStyle w:val="Subtitle"/>
        <w:spacing w:after="100"/>
      </w:pPr>
      <w:r>
        <w:rPr>
          <w:rFonts w:ascii="Arial" w:hAnsi="Arial" w:eastAsia="宋体"/>
          <w:b w:val="0"/>
          <w:color w:val="000000"/>
          <w:sz w:val="22"/>
        </w:rPr>
        <w:t>妇产科AI病历书写系统 V1.0</w:t>
      </w:r>
    </w:p>
    <w:p>
      <w:pPr>
        <w:spacing w:after="100"/>
      </w:pPr>
      <w:r>
        <w:rPr>
          <w:rFonts w:ascii="Arial" w:hAnsi="Arial" w:eastAsia="宋体"/>
          <w:b w:val="0"/>
          <w:color w:val="000000"/>
          <w:sz w:val="22"/>
        </w:rPr>
        <w:t>模块编号 106    所属层级 第三级 专病模板层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供妇科 产科及母胎医学文书拟稿与病案质控使用</w:t>
      </w:r>
    </w:p>
    <w:p>
      <w:pPr>
        <w:spacing w:after="100"/>
      </w:pPr>
      <w:r>
        <w:rPr>
          <w:rFonts w:ascii="Arial" w:hAnsi="Arial" w:eastAsia="宋体"/>
          <w:b w:val="0"/>
          <w:color w:val="000000"/>
          <w:sz w:val="22"/>
        </w:rPr>
        <w:t>本模块按真实资料形成可复制拟稿，覆盖当前主题的证据、状态、文书及协同规则。模板变量和虚构病例不能进入真实患者事实。</w:t>
      </w:r>
    </w:p>
    <w:p>
      <w:pPr>
        <w:spacing w:after="100"/>
      </w:pPr>
      <w:r>
        <w:rPr>
          <w:rFonts w:ascii="Arial" w:hAnsi="Arial" w:eastAsia="宋体"/>
          <w:b w:val="0"/>
          <w:color w:val="000000"/>
          <w:sz w:val="22"/>
        </w:rPr>
        <w:t>本版为规则库，尚未接入医院电子病历或监护系统。临床诊疗、操作、医嘱和签名由有权限医师实际完成。指南核验层级、模拟测试范围和未核内容在正文列明。</w:t>
      </w:r>
    </w:p>
    <w:p>
      <w:r>
        <w:br w:type="page"/>
      </w:r>
    </w:p>
    <w:p>
      <w:pPr>
        <w:pStyle w:val="Heading1"/>
      </w:pPr>
      <w:r>
        <w:t>目录</w:t>
      </w:r>
    </w:p>
    <w:p>
      <w:pPr>
        <w:spacing w:before="0" w:after="20" w:line="260" w:lineRule="exact"/>
        <w:ind w:left="0"/>
      </w:pPr>
      <w:hyperlink w:anchor="b0">
        <w:r>
          <w:rPr>
            <w:color w:val="000000"/>
            <w:sz w:val="20"/>
          </w:rPr>
          <w:t>模块功能与使用条件</w:t>
        </w:r>
      </w:hyperlink>
    </w:p>
    <w:p>
      <w:pPr>
        <w:spacing w:before="0" w:after="20" w:line="260" w:lineRule="exact"/>
        <w:ind w:left="0"/>
      </w:pPr>
      <w:hyperlink w:anchor="b4">
        <w:r>
          <w:rPr>
            <w:color w:val="000000"/>
            <w:sz w:val="20"/>
          </w:rPr>
          <w:t>正式医学文书输出规则</w:t>
        </w:r>
      </w:hyperlink>
    </w:p>
    <w:p>
      <w:pPr>
        <w:spacing w:before="0" w:after="20" w:line="260" w:lineRule="exact"/>
        <w:ind w:left="0"/>
      </w:pPr>
      <w:hyperlink w:anchor="b7">
        <w:r>
          <w:rPr>
            <w:color w:val="000000"/>
            <w:sz w:val="20"/>
          </w:rPr>
          <w:t>专病知识及33项文书标准</w:t>
        </w:r>
      </w:hyperlink>
    </w:p>
    <w:p>
      <w:pPr>
        <w:spacing w:before="0" w:after="20" w:line="260" w:lineRule="exact"/>
        <w:ind w:left="216"/>
      </w:pPr>
      <w:hyperlink w:anchor="b9">
        <w:r>
          <w:rPr>
            <w:color w:val="000000"/>
            <w:sz w:val="20"/>
          </w:rPr>
          <w:t>01 宫颈HPV细胞学异常及上皮内病变</w:t>
        </w:r>
      </w:hyperlink>
    </w:p>
    <w:p>
      <w:pPr>
        <w:spacing w:before="0" w:after="20" w:line="260" w:lineRule="exact"/>
        <w:ind w:left="216"/>
      </w:pPr>
      <w:hyperlink w:anchor="b46">
        <w:r>
          <w:rPr>
            <w:color w:val="000000"/>
            <w:sz w:val="20"/>
          </w:rPr>
          <w:t>02 宫颈癌</w:t>
        </w:r>
      </w:hyperlink>
    </w:p>
    <w:p>
      <w:pPr>
        <w:spacing w:before="0" w:after="20" w:line="260" w:lineRule="exact"/>
        <w:ind w:left="216"/>
      </w:pPr>
      <w:hyperlink w:anchor="b83">
        <w:r>
          <w:rPr>
            <w:color w:val="000000"/>
            <w:sz w:val="20"/>
          </w:rPr>
          <w:t>03 子宫内膜癌与EIN</w:t>
        </w:r>
      </w:hyperlink>
    </w:p>
    <w:p>
      <w:pPr>
        <w:spacing w:before="0" w:after="20" w:line="260" w:lineRule="exact"/>
        <w:ind w:left="216"/>
      </w:pPr>
      <w:hyperlink w:anchor="b120">
        <w:r>
          <w:rPr>
            <w:color w:val="000000"/>
            <w:sz w:val="20"/>
          </w:rPr>
          <w:t>04 子宫肉瘤及恶性潜能未定肿瘤</w:t>
        </w:r>
      </w:hyperlink>
    </w:p>
    <w:p>
      <w:pPr>
        <w:spacing w:before="0" w:after="20" w:line="260" w:lineRule="exact"/>
        <w:ind w:left="216"/>
      </w:pPr>
      <w:hyperlink w:anchor="b157">
        <w:r>
          <w:rPr>
            <w:color w:val="000000"/>
            <w:sz w:val="20"/>
          </w:rPr>
          <w:t>05 卵巢输卵管及原发腹膜恶性肿瘤</w:t>
        </w:r>
      </w:hyperlink>
    </w:p>
    <w:p>
      <w:pPr>
        <w:spacing w:before="0" w:after="20" w:line="260" w:lineRule="exact"/>
        <w:ind w:left="216"/>
      </w:pPr>
      <w:hyperlink w:anchor="b194">
        <w:r>
          <w:rPr>
            <w:color w:val="000000"/>
            <w:sz w:val="20"/>
          </w:rPr>
          <w:t>06 外阴和阴道恶性肿瘤</w:t>
        </w:r>
      </w:hyperlink>
    </w:p>
    <w:p>
      <w:pPr>
        <w:spacing w:before="0" w:after="20" w:line="260" w:lineRule="exact"/>
        <w:ind w:left="216"/>
      </w:pPr>
      <w:hyperlink w:anchor="b231">
        <w:r>
          <w:rPr>
            <w:color w:val="000000"/>
            <w:sz w:val="20"/>
          </w:rPr>
          <w:t>07 妊娠滋养细胞疾病及滋养细胞肿瘤</w:t>
        </w:r>
      </w:hyperlink>
    </w:p>
    <w:p>
      <w:pPr>
        <w:spacing w:before="0" w:after="20" w:line="260" w:lineRule="exact"/>
        <w:ind w:left="216"/>
      </w:pPr>
      <w:hyperlink w:anchor="b268">
        <w:r>
          <w:rPr>
            <w:color w:val="000000"/>
            <w:sz w:val="20"/>
          </w:rPr>
          <w:t>08 妇科肿瘤手术病理分期与治疗衔接</w:t>
        </w:r>
      </w:hyperlink>
    </w:p>
    <w:p>
      <w:pPr>
        <w:spacing w:before="0" w:after="20" w:line="260" w:lineRule="exact"/>
        <w:ind w:left="0"/>
      </w:pPr>
      <w:hyperlink w:anchor="b305">
        <w:r>
          <w:rPr>
            <w:color w:val="000000"/>
            <w:sz w:val="20"/>
          </w:rPr>
          <w:t>细分疾病与临床情境覆盖及差异</w:t>
        </w:r>
      </w:hyperlink>
    </w:p>
    <w:p>
      <w:pPr>
        <w:spacing w:before="0" w:after="20" w:line="260" w:lineRule="exact"/>
        <w:ind w:left="0"/>
      </w:pPr>
      <w:hyperlink w:anchor="b308">
        <w:r>
          <w:rPr>
            <w:color w:val="000000"/>
            <w:sz w:val="20"/>
          </w:rPr>
          <w:t>完整虚构病例及可复制拟稿</w:t>
        </w:r>
      </w:hyperlink>
    </w:p>
    <w:p>
      <w:pPr>
        <w:spacing w:before="0" w:after="20" w:line="260" w:lineRule="exact"/>
        <w:ind w:left="0"/>
      </w:pPr>
      <w:hyperlink w:anchor="b313">
        <w:r>
          <w:rPr>
            <w:color w:val="000000"/>
            <w:sz w:val="20"/>
          </w:rPr>
          <w:t>真实性限制与常见错误</w:t>
        </w:r>
      </w:hyperlink>
    </w:p>
    <w:p>
      <w:pPr>
        <w:spacing w:before="0" w:after="20" w:line="260" w:lineRule="exact"/>
        <w:ind w:left="0"/>
      </w:pPr>
      <w:hyperlink w:anchor="b316">
        <w:r>
          <w:rPr>
            <w:color w:val="000000"/>
            <w:sz w:val="20"/>
          </w:rPr>
          <w:t>模块协同及更新维护</w:t>
        </w:r>
      </w:hyperlink>
    </w:p>
    <w:p>
      <w:pPr>
        <w:spacing w:before="0" w:after="20" w:line="260" w:lineRule="exact"/>
        <w:ind w:left="0"/>
      </w:pPr>
      <w:hyperlink w:anchor="b319">
        <w:r>
          <w:rPr>
            <w:color w:val="000000"/>
            <w:sz w:val="20"/>
          </w:rPr>
          <w:t>指南来源与已核验范围</w:t>
        </w:r>
      </w:hyperlink>
    </w:p>
    <w:p>
      <w:r>
        <w:br w:type="page"/>
      </w:r>
    </w:p>
    <w:p>
      <w:bookmarkStart w:id="0" w:name="b0"/>
      <w:pPr>
        <w:pStyle w:val="Heading1"/>
      </w:pPr>
      <w:r>
        <w:t>模块功能与使用条件</w:t>
      </w:r>
      <w:bookmarkEnd w:id="0"/>
    </w:p>
    <w:p>
      <w:pPr>
        <w:spacing w:after="100"/>
      </w:pPr>
      <w:r>
        <w:rPr>
          <w:rFonts w:ascii="Arial" w:hAnsi="Arial" w:eastAsia="宋体"/>
          <w:b w:val="0"/>
          <w:color w:val="000000"/>
          <w:sz w:val="22"/>
        </w:rPr>
        <w:t>功能定位：本专病组的诊断分析及全程文书。适用中国医院妇科病房、产科高危病房、产房、手术及产褥随访；仅处理本模块相关任务。</w:t>
      </w:r>
    </w:p>
    <w:p>
      <w:pPr>
        <w:spacing w:after="100"/>
      </w:pPr>
      <w:r>
        <w:rPr>
          <w:rFonts w:ascii="Arial" w:hAnsi="Arial" w:eastAsia="宋体"/>
          <w:b w:val="0"/>
          <w:color w:val="000000"/>
          <w:sz w:val="22"/>
        </w:rPr>
        <w:t>自动调用条件：本组疾病或临床情境被识别，按最小充分原则选择具体卡片。必需资料：本例症状、真实妇产科实查、检查原文、治疗操作和当前阶段。</w:t>
      </w:r>
    </w:p>
    <w:p>
      <w:pPr>
        <w:spacing w:after="100"/>
      </w:pPr>
      <w:r>
        <w:rPr>
          <w:rFonts w:ascii="Arial" w:hAnsi="Arial" w:eastAsia="宋体"/>
          <w:b w:val="0"/>
          <w:color w:val="000000"/>
          <w:sz w:val="22"/>
        </w:rPr>
        <w:t>真实患者资料高于模板。每条事实须绑定patient_id、encounter_id、pregnancy_id（适用时）、fetus_id或lesion_id、delivery_id或procedure_id、event_time、recorded_at、available_at、source_id及核验状态。未知、未检查、有依据阴性与不适用分别记录。医学知识、建议、医师计划、已开医嘱、实际执行、暂停、停止、取消和拒绝不得互换。模拟病例只用于教学，不进入患者事实。</w:t>
      </w:r>
    </w:p>
    <w:p>
      <w:bookmarkStart w:id="4" w:name="b4"/>
      <w:pPr>
        <w:pStyle w:val="Heading1"/>
      </w:pPr>
      <w:r>
        <w:t>正式医学文书输出规则</w:t>
      </w:r>
      <w:bookmarkEnd w:id="4"/>
    </w:p>
    <w:p>
      <w:pPr>
        <w:spacing w:after="100"/>
      </w:pPr>
      <w:r>
        <w:rPr>
          <w:rFonts w:ascii="Arial" w:hAnsi="Arial" w:eastAsia="宋体"/>
          <w:b w:val="0"/>
          <w:color w:val="000000"/>
          <w:sz w:val="22"/>
        </w:rPr>
        <w:t>正式医学文书正文放在独立Markdown text代码框内；日期、时间、文书标题、实际查房医师姓名职称均置于代码框外。框内仅保留正文，不重复题头日期或标题，不加AI解释及无关内容。日常病程及主治、副主任、主任医师查房正文连续完整一整段，不留空行、不分条、不加多余空格，不因单段而删减必要医学内容。入院、首次病程、产程表、分娩、剖宫产及妇科手术、抢救等保留医院要求的结构、事件时间、产程阶段、胎儿监测、实际操作步骤、出血及新生儿关联。正式净稿不得遗留占位符；关键事实缺失或冲突在框外列明待核项，暂停受影响净稿，不自行补造。禁止“根据昨天的查房记录”“结合前一天的检查”“根据用户上传的图片”“AI分析认为”等来源口语；有临床意义的历史检查直接注明实际日期。</w:t>
      </w:r>
    </w:p>
    <w:p>
      <w:pPr>
        <w:spacing w:after="100"/>
      </w:pPr>
      <w:r>
        <w:rPr>
          <w:rFonts w:ascii="Arial" w:hAnsi="Arial" w:eastAsia="宋体"/>
          <w:b w:val="0"/>
          <w:color w:val="000000"/>
          <w:sz w:val="22"/>
        </w:rPr>
        <w:t>本规则库用于医师审核前拟稿、证据整理及质控。未连接医院EMR、胎心监护仪、产程系统或数据库，未实现后台自动读取或跨会话可靠记忆；文档中的自动调用是AI实际读取模块后执行的协议。不得替代医师诊疗、处方、助产、手术、知情同意或签名。</w:t>
      </w:r>
    </w:p>
    <w:p>
      <w:bookmarkStart w:id="7" w:name="b7"/>
      <w:pPr>
        <w:pStyle w:val="Heading1"/>
      </w:pPr>
      <w:r>
        <w:t>专病知识及33项文书标准</w:t>
      </w:r>
      <w:bookmarkEnd w:id="7"/>
    </w:p>
    <w:p>
      <w:pPr>
        <w:spacing w:after="100"/>
      </w:pPr>
      <w:r>
        <w:rPr>
          <w:rFonts w:ascii="Arial" w:hAnsi="Arial" w:eastAsia="宋体"/>
          <w:b w:val="0"/>
          <w:color w:val="000000"/>
          <w:sz w:val="22"/>
        </w:rPr>
        <w:t>每张核心卡包含定义至来源33项。多个相关亚情境采用核心卡并叠加后附逐项覆盖表的专属条件；不适用的病理、手术或产后段应省略。以下所有变量是模板，不是已发生事实；上级分析均需真实意见。</w:t>
      </w:r>
    </w:p>
    <w:p>
      <w:bookmarkStart w:id="9" w:name="b9"/>
      <w:pPr>
        <w:pStyle w:val="Heading2"/>
      </w:pPr>
      <w:r>
        <w:t>01 宫颈HPV细胞学异常及上皮内病变</w:t>
      </w:r>
      <w:bookmarkEnd w:id="9"/>
    </w:p>
    <w:p>
      <w:pPr>
        <w:spacing w:after="100"/>
      </w:pPr>
      <w:r>
        <w:rPr>
          <w:rFonts w:ascii="Arial" w:hAnsi="Arial" w:eastAsia="宋体"/>
          <w:b w:val="0"/>
          <w:color w:val="000000"/>
          <w:sz w:val="22"/>
        </w:rPr>
        <w:t>01 疾病或情境定义：HPV感染、细胞学异常、组织学癌前病变属于不同证据层。</w:t>
      </w:r>
    </w:p>
    <w:p>
      <w:pPr>
        <w:spacing w:after="100"/>
      </w:pPr>
      <w:r>
        <w:rPr>
          <w:rFonts w:ascii="Arial" w:hAnsi="Arial" w:eastAsia="宋体"/>
          <w:b w:val="0"/>
          <w:color w:val="000000"/>
          <w:sz w:val="22"/>
        </w:rPr>
        <w:t>02 病因和机制：持续高危HPV感染与部分宫颈病变相关，感染不必然进展为浸润癌。。</w:t>
      </w:r>
    </w:p>
    <w:p>
      <w:pPr>
        <w:spacing w:after="100"/>
      </w:pPr>
      <w:r>
        <w:rPr>
          <w:rFonts w:ascii="Arial" w:hAnsi="Arial" w:eastAsia="宋体"/>
          <w:b w:val="0"/>
          <w:color w:val="000000"/>
          <w:sz w:val="22"/>
        </w:rPr>
        <w:t>03 临床表现及情境识别：多由无症状筛查发现，接触性出血或可见病灶须另评，不能由有无症状判病理级别。以上为知识范围，当前患者实际表现逐项取证。</w:t>
      </w:r>
    </w:p>
    <w:p>
      <w:pPr>
        <w:spacing w:after="100"/>
      </w:pPr>
      <w:r>
        <w:rPr>
          <w:rFonts w:ascii="Arial" w:hAnsi="Arial" w:eastAsia="宋体"/>
          <w:b w:val="0"/>
          <w:color w:val="000000"/>
          <w:sz w:val="22"/>
        </w:rPr>
        <w:t>04 病史采集：筛查日期方法、既往CIN治疗、免疫和生育目标。</w:t>
      </w:r>
    </w:p>
    <w:p>
      <w:pPr>
        <w:spacing w:after="100"/>
      </w:pPr>
      <w:r>
        <w:rPr>
          <w:rFonts w:ascii="Arial" w:hAnsi="Arial" w:eastAsia="宋体"/>
          <w:b w:val="0"/>
          <w:color w:val="000000"/>
          <w:sz w:val="22"/>
        </w:rPr>
        <w:t>05 专科检查：宫颈可见病灶仅实际检查时描述。</w:t>
      </w:r>
    </w:p>
    <w:p>
      <w:pPr>
        <w:spacing w:after="100"/>
      </w:pPr>
      <w:r>
        <w:rPr>
          <w:rFonts w:ascii="Arial" w:hAnsi="Arial" w:eastAsia="宋体"/>
          <w:b w:val="0"/>
          <w:color w:val="000000"/>
          <w:sz w:val="22"/>
        </w:rPr>
        <w:t>06 实验室检查：HPV分型检测和细胞学TBS结果保持原文。</w:t>
      </w:r>
    </w:p>
    <w:p>
      <w:pPr>
        <w:spacing w:after="100"/>
      </w:pPr>
      <w:r>
        <w:rPr>
          <w:rFonts w:ascii="Arial" w:hAnsi="Arial" w:eastAsia="宋体"/>
          <w:b w:val="0"/>
          <w:color w:val="000000"/>
          <w:sz w:val="22"/>
        </w:rPr>
        <w:t>07 超声及影像：阴道镜图像及转化区按实际报告。</w:t>
      </w:r>
    </w:p>
    <w:p>
      <w:pPr>
        <w:spacing w:after="100"/>
      </w:pPr>
      <w:r>
        <w:rPr>
          <w:rFonts w:ascii="Arial" w:hAnsi="Arial" w:eastAsia="宋体"/>
          <w:b w:val="0"/>
          <w:color w:val="000000"/>
          <w:sz w:val="22"/>
        </w:rPr>
        <w:t>08 病理及特殊检查：定点活检ECC锥切病理各有标本及回报时间。</w:t>
      </w:r>
    </w:p>
    <w:p>
      <w:pPr>
        <w:spacing w:after="100"/>
      </w:pPr>
      <w:r>
        <w:rPr>
          <w:rFonts w:ascii="Arial" w:hAnsi="Arial" w:eastAsia="宋体"/>
          <w:b w:val="0"/>
          <w:color w:val="000000"/>
          <w:sz w:val="22"/>
        </w:rPr>
        <w:t>09 诊断标准：HPV阳性不等癌，HSIL细胞学不直接等组织HSIL或浸润癌。</w:t>
      </w:r>
    </w:p>
    <w:p>
      <w:pPr>
        <w:spacing w:after="100"/>
      </w:pPr>
      <w:r>
        <w:rPr>
          <w:rFonts w:ascii="Arial" w:hAnsi="Arial" w:eastAsia="宋体"/>
          <w:b w:val="0"/>
          <w:color w:val="000000"/>
          <w:sz w:val="22"/>
        </w:rPr>
        <w:t>10 诊断依据：将本例实际病史、宫颈可见病灶仅实际检查时描述和已有检查逐项对应上述标准；列出支持、反对和缺口，不由标准反造事实。。</w:t>
      </w:r>
    </w:p>
    <w:p>
      <w:pPr>
        <w:spacing w:after="100"/>
      </w:pPr>
      <w:r>
        <w:rPr>
          <w:rFonts w:ascii="Arial" w:hAnsi="Arial" w:eastAsia="宋体"/>
          <w:b w:val="0"/>
          <w:color w:val="000000"/>
          <w:sz w:val="22"/>
        </w:rPr>
        <w:t>11 鉴别诊断：炎症修复、萎缩、低级高级病变和浸润癌。</w:t>
      </w:r>
    </w:p>
    <w:p>
      <w:pPr>
        <w:spacing w:after="100"/>
      </w:pPr>
      <w:r>
        <w:rPr>
          <w:rFonts w:ascii="Arial" w:hAnsi="Arial" w:eastAsia="宋体"/>
          <w:b w:val="0"/>
          <w:color w:val="000000"/>
          <w:sz w:val="22"/>
        </w:rPr>
        <w:t>12 分型分期：以本例已满足条件确定体系及版本；本病关注即时风险受既往结果影响；不将一般筛查间隔套随访，不适用者不强设肿瘤分期。。</w:t>
      </w:r>
    </w:p>
    <w:p>
      <w:pPr>
        <w:spacing w:after="100"/>
      </w:pPr>
      <w:r>
        <w:rPr>
          <w:rFonts w:ascii="Arial" w:hAnsi="Arial" w:eastAsia="宋体"/>
          <w:b w:val="0"/>
          <w:color w:val="000000"/>
          <w:sz w:val="22"/>
        </w:rPr>
        <w:t>13 危险评估：即时风险受既往结果影响；不将一般筛查间隔套随访。</w:t>
      </w:r>
    </w:p>
    <w:p>
      <w:pPr>
        <w:spacing w:after="100"/>
      </w:pPr>
      <w:r>
        <w:rPr>
          <w:rFonts w:ascii="Arial" w:hAnsi="Arial" w:eastAsia="宋体"/>
          <w:b w:val="0"/>
          <w:color w:val="000000"/>
          <w:sz w:val="22"/>
        </w:rPr>
        <w:t>14 治疗原则：复查阴道镜或切除的选择由正式风险路径和医师决定。</w:t>
      </w:r>
    </w:p>
    <w:p>
      <w:pPr>
        <w:spacing w:after="100"/>
      </w:pPr>
      <w:r>
        <w:rPr>
          <w:rFonts w:ascii="Arial" w:hAnsi="Arial" w:eastAsia="宋体"/>
          <w:b w:val="0"/>
          <w:color w:val="000000"/>
          <w:sz w:val="22"/>
        </w:rPr>
        <w:t>15 手术或分娩决策：锥切深度方向切缘和宫颈管病变按实际，不能默认切净。</w:t>
      </w:r>
    </w:p>
    <w:p>
      <w:pPr>
        <w:spacing w:after="100"/>
      </w:pPr>
      <w:r>
        <w:rPr>
          <w:rFonts w:ascii="Arial" w:hAnsi="Arial" w:eastAsia="宋体"/>
          <w:b w:val="0"/>
          <w:color w:val="000000"/>
          <w:sz w:val="22"/>
        </w:rPr>
        <w:t>16 相关操作：仅纳入本例确有指征的操作并关联05：锥切深度方向切缘和宫颈管病变按实际，不能默认切净。</w:t>
      </w:r>
    </w:p>
    <w:p>
      <w:pPr>
        <w:spacing w:after="100"/>
      </w:pPr>
      <w:r>
        <w:rPr>
          <w:rFonts w:ascii="Arial" w:hAnsi="Arial" w:eastAsia="宋体"/>
          <w:b w:val="0"/>
          <w:color w:val="000000"/>
          <w:sz w:val="22"/>
        </w:rPr>
        <w:t>17 围术期管理：若确有操作，先核适应证、替代方案、准备及实际完成，再复评即时风险受既往结果影响；不将一般筛查间隔套随访；无操作则转为观察或治疗前安全评估。。</w:t>
      </w:r>
    </w:p>
    <w:p>
      <w:pPr>
        <w:spacing w:after="100"/>
      </w:pPr>
      <w:r>
        <w:rPr>
          <w:rFonts w:ascii="Arial" w:hAnsi="Arial" w:eastAsia="宋体"/>
          <w:b w:val="0"/>
          <w:color w:val="000000"/>
          <w:sz w:val="22"/>
        </w:rPr>
        <w:t>18 并发症及急变：重点危险：即时风险受既往结果影响；不将一般筛查间隔套随访。恶化时立即现场评估并联合06，记录真实异常、处理与反应，不把风险当已发生。。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病例特点：【筛查日期方法、既往CIN治疗、免疫和生育目标的实际病史；宫颈可见病灶仅实际检查时描述的实查；真实HPV分型检测和细胞学TBS结果保持原文及影像】</w:t>
        <w:br/>
        <w:t>诊断及依据：【依HPV阳性不等癌，HSIL细胞学不直接等组织HSIL或浸润癌核定本例确定度】</w:t>
        <w:br/>
        <w:t>鉴别诊断：【炎症修复、萎缩、低级高级病变和浸润癌的本例支持反对证据】</w:t>
        <w:br/>
        <w:t>风险及计划：【即时风险受既往结果影响；不将一般筛查间隔套随访及真实医师方案】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宫颈可见病灶仅实际检查时描述中的当次完成项目】，辅助检查【新增且当时可用的真实结果】。目前【围绕核检测与病理层次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宫颈HPV细胞学异常及上皮内病变相关的当日症状】。查体【当次专科和全身实查】，辅助检查【真实结果及日期】。主治医师分析【核检测与病理层次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宫颈HPV细胞学异常及上皮内病变相关的当日症状】。查体【当次专科和全身实查】，辅助检查【真实结果及日期】。副主任医师分析【复核筛查到活检证据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宫颈HPV细胞学异常及上皮内病变相关的当日症状】。查体【当次专科和全身实查】，辅助检查【真实结果及日期】。主任医师分析【整合保生育与漏诊浸润风险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诊断及指征：【真实依据及锥切深度方向切缘和宫颈管病变按实际，不能默认切净的实际决定】</w:t>
        <w:br/>
        <w:t>风险替代准备：【即时风险受既往结果影响；不将一般筛查间隔套随访、真实替代方案和准备状态】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即时状态：【与即时风险受既往结果影响；不将一般筛查间隔套随访有关的实查和监测】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即时风险受既往结果影响；不将一般筛查间隔套随访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锥切深度方向切缘和宫颈管病变按实际，不能默认切净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住院经过：【与宫颈HPV细胞学异常及上皮内病变有关的检查及治疗操作实际时间线】</w:t>
        <w:br/>
        <w:t>出院诊断：【证据层级和未决项】</w:t>
        <w:br/>
        <w:t>出院状态：【当次宫颈可见病灶仅实际检查时描述等实际资料】</w:t>
        <w:br/>
        <w:t>后续安排：【病理复核、切缘和HPV随访，未来妊娠宫颈风险沟通的本例具体责任及时点】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本病随访：【病理复核、切缘和HPV随访，未来妊娠宫颈风险沟通中的具体复查时点项目责任】</w:t>
        <w:br/>
        <w:t>返院条件：【即时风险受既往结果影响；不将一般筛查间隔套随访对应个体危险症状及就诊方式】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随访管理：病理复核、切缘和HPV随访，未来妊娠宫颈风险沟通。</w:t>
      </w:r>
    </w:p>
    <w:p>
      <w:pPr>
        <w:spacing w:after="100"/>
      </w:pPr>
      <w:r>
        <w:rPr>
          <w:rFonts w:ascii="Arial" w:hAnsi="Arial" w:eastAsia="宋体"/>
          <w:b w:val="0"/>
          <w:color w:val="000000"/>
          <w:sz w:val="22"/>
        </w:rPr>
        <w:t>32 最终质控：本病优先核核检测与病理层次、复核筛查到活检证据及整合保生育与漏诊浸润风险是否均有真实来源；对象、证据、阶段及代码框按10终审。</w:t>
      </w:r>
    </w:p>
    <w:p>
      <w:pPr>
        <w:spacing w:after="100"/>
      </w:pPr>
      <w:r>
        <w:rPr>
          <w:rFonts w:ascii="Arial" w:hAnsi="Arial" w:eastAsia="宋体"/>
          <w:b w:val="0"/>
          <w:color w:val="000000"/>
          <w:sz w:val="22"/>
        </w:rPr>
        <w:t>33 医学来源：R23、R24、R25、R26、R27，正式名称、年份、核验层级和限制见本模块来源章节；本卡为原创新写文书结构，不冒称指南全文，未核条款不自定推荐等级。</w:t>
      </w:r>
    </w:p>
    <w:p>
      <w:bookmarkStart w:id="46" w:name="b46"/>
      <w:pPr>
        <w:pStyle w:val="Heading2"/>
      </w:pPr>
      <w:r>
        <w:t>02 宫颈癌</w:t>
      </w:r>
      <w:bookmarkEnd w:id="46"/>
    </w:p>
    <w:p>
      <w:pPr>
        <w:spacing w:after="100"/>
      </w:pPr>
      <w:r>
        <w:rPr>
          <w:rFonts w:ascii="Arial" w:hAnsi="Arial" w:eastAsia="宋体"/>
          <w:b w:val="0"/>
          <w:color w:val="000000"/>
          <w:sz w:val="22"/>
        </w:rPr>
        <w:t>01 疾病或情境定义：宫颈浸润性恶性肿瘤需组织确诊，筛查不能代替。</w:t>
      </w:r>
    </w:p>
    <w:p>
      <w:pPr>
        <w:spacing w:after="100"/>
      </w:pPr>
      <w:r>
        <w:rPr>
          <w:rFonts w:ascii="Arial" w:hAnsi="Arial" w:eastAsia="宋体"/>
          <w:b w:val="0"/>
          <w:color w:val="000000"/>
          <w:sz w:val="22"/>
        </w:rPr>
        <w:t>02 病因和机制：肿瘤发生及传播依原发部位、组织亚型和分子特征，分期描述范围而非单纯标志物水平。。</w:t>
      </w:r>
    </w:p>
    <w:p>
      <w:pPr>
        <w:spacing w:after="100"/>
      </w:pPr>
      <w:r>
        <w:rPr>
          <w:rFonts w:ascii="Arial" w:hAnsi="Arial" w:eastAsia="宋体"/>
          <w:b w:val="0"/>
          <w:color w:val="000000"/>
          <w:sz w:val="22"/>
        </w:rPr>
        <w:t>03 临床表现及情境识别：接触性或不规则出血、异常排液，进展时可有疼痛泌尿或下肢症状，也可筛查发现。以上为知识范围，当前患者实际表现逐项取证。</w:t>
      </w:r>
    </w:p>
    <w:p>
      <w:pPr>
        <w:spacing w:after="100"/>
      </w:pPr>
      <w:r>
        <w:rPr>
          <w:rFonts w:ascii="Arial" w:hAnsi="Arial" w:eastAsia="宋体"/>
          <w:b w:val="0"/>
          <w:color w:val="000000"/>
          <w:sz w:val="22"/>
        </w:rPr>
        <w:t>04 病史采集：接触出血、排液、既往筛查病理、生育和既往治疗。</w:t>
      </w:r>
    </w:p>
    <w:p>
      <w:pPr>
        <w:spacing w:after="100"/>
      </w:pPr>
      <w:r>
        <w:rPr>
          <w:rFonts w:ascii="Arial" w:hAnsi="Arial" w:eastAsia="宋体"/>
          <w:b w:val="0"/>
          <w:color w:val="000000"/>
          <w:sz w:val="22"/>
        </w:rPr>
        <w:t>05 专科检查：宫颈肿瘤大小、阴道宫旁等由真实专科检查。</w:t>
      </w:r>
    </w:p>
    <w:p>
      <w:pPr>
        <w:spacing w:after="100"/>
      </w:pPr>
      <w:r>
        <w:rPr>
          <w:rFonts w:ascii="Arial" w:hAnsi="Arial" w:eastAsia="宋体"/>
          <w:b w:val="0"/>
          <w:color w:val="000000"/>
          <w:sz w:val="22"/>
        </w:rPr>
        <w:t>06 实验室检查：Hb肝肾等治疗相关实检。</w:t>
      </w:r>
    </w:p>
    <w:p>
      <w:pPr>
        <w:spacing w:after="100"/>
      </w:pPr>
      <w:r>
        <w:rPr>
          <w:rFonts w:ascii="Arial" w:hAnsi="Arial" w:eastAsia="宋体"/>
          <w:b w:val="0"/>
          <w:color w:val="000000"/>
          <w:sz w:val="22"/>
        </w:rPr>
        <w:t>07 超声及影像：盆腔MRI及淋巴结远处影像有模态日期。</w:t>
      </w:r>
    </w:p>
    <w:p>
      <w:pPr>
        <w:spacing w:after="100"/>
      </w:pPr>
      <w:r>
        <w:rPr>
          <w:rFonts w:ascii="Arial" w:hAnsi="Arial" w:eastAsia="宋体"/>
          <w:b w:val="0"/>
          <w:color w:val="000000"/>
          <w:sz w:val="22"/>
        </w:rPr>
        <w:t>08 病理及特殊检查：活检类型、浸润、淋巴结病理和复核。</w:t>
      </w:r>
    </w:p>
    <w:p>
      <w:pPr>
        <w:spacing w:after="100"/>
      </w:pPr>
      <w:r>
        <w:rPr>
          <w:rFonts w:ascii="Arial" w:hAnsi="Arial" w:eastAsia="宋体"/>
          <w:b w:val="0"/>
          <w:color w:val="000000"/>
          <w:sz w:val="22"/>
        </w:rPr>
        <w:t>09 诊断标准：FIGO2018具体分期依实查影像病理；2025报告不是新分期年份。</w:t>
      </w:r>
    </w:p>
    <w:p>
      <w:pPr>
        <w:spacing w:after="100"/>
      </w:pPr>
      <w:r>
        <w:rPr>
          <w:rFonts w:ascii="Arial" w:hAnsi="Arial" w:eastAsia="宋体"/>
          <w:b w:val="0"/>
          <w:color w:val="000000"/>
          <w:sz w:val="22"/>
        </w:rPr>
        <w:t>10 诊断依据：将本例实际病史、宫颈肿瘤大小、阴道宫旁等由真实专科检查和已有检查逐项对应上述标准；列出支持、反对和缺口，不由标准反造事实。。</w:t>
      </w:r>
    </w:p>
    <w:p>
      <w:pPr>
        <w:spacing w:after="100"/>
      </w:pPr>
      <w:r>
        <w:rPr>
          <w:rFonts w:ascii="Arial" w:hAnsi="Arial" w:eastAsia="宋体"/>
          <w:b w:val="0"/>
          <w:color w:val="000000"/>
          <w:sz w:val="22"/>
        </w:rPr>
        <w:t>11 鉴别诊断：宫颈癌前、内膜来源、炎症和其他宫颈肿瘤。</w:t>
      </w:r>
    </w:p>
    <w:p>
      <w:pPr>
        <w:spacing w:after="100"/>
      </w:pPr>
      <w:r>
        <w:rPr>
          <w:rFonts w:ascii="Arial" w:hAnsi="Arial" w:eastAsia="宋体"/>
          <w:b w:val="0"/>
          <w:color w:val="000000"/>
          <w:sz w:val="22"/>
        </w:rPr>
        <w:t>12 分型分期：以本例已满足条件确定体系及版本；本病关注肿瘤局部范围、淋巴结、远处及治疗耐受，不适用者不强设肿瘤分期。。</w:t>
      </w:r>
    </w:p>
    <w:p>
      <w:pPr>
        <w:spacing w:after="100"/>
      </w:pPr>
      <w:r>
        <w:rPr>
          <w:rFonts w:ascii="Arial" w:hAnsi="Arial" w:eastAsia="宋体"/>
          <w:b w:val="0"/>
          <w:color w:val="000000"/>
          <w:sz w:val="22"/>
        </w:rPr>
        <w:t>13 危险评估：肿瘤局部范围、淋巴结、远处及治疗耐受。</w:t>
      </w:r>
    </w:p>
    <w:p>
      <w:pPr>
        <w:spacing w:after="100"/>
      </w:pPr>
      <w:r>
        <w:rPr>
          <w:rFonts w:ascii="Arial" w:hAnsi="Arial" w:eastAsia="宋体"/>
          <w:b w:val="0"/>
          <w:color w:val="000000"/>
          <w:sz w:val="22"/>
        </w:rPr>
        <w:t>14 治疗原则：妇瘤多学科讨论，手术或放化疗等不从期别自动生成医嘱。</w:t>
      </w:r>
    </w:p>
    <w:p>
      <w:pPr>
        <w:spacing w:after="100"/>
      </w:pPr>
      <w:r>
        <w:rPr>
          <w:rFonts w:ascii="Arial" w:hAnsi="Arial" w:eastAsia="宋体"/>
          <w:b w:val="0"/>
          <w:color w:val="000000"/>
          <w:sz w:val="22"/>
        </w:rPr>
        <w:t>15 手术或分娩决策：根治范围淋巴结及标本分区依据实际记录；保生育条件专科核定。</w:t>
      </w:r>
    </w:p>
    <w:p>
      <w:pPr>
        <w:spacing w:after="100"/>
      </w:pPr>
      <w:r>
        <w:rPr>
          <w:rFonts w:ascii="Arial" w:hAnsi="Arial" w:eastAsia="宋体"/>
          <w:b w:val="0"/>
          <w:color w:val="000000"/>
          <w:sz w:val="22"/>
        </w:rPr>
        <w:t>16 相关操作：仅纳入本例确有指征的操作并关联05：根治范围淋巴结及标本分区依据实际记录；保生育条件专科核定。</w:t>
      </w:r>
    </w:p>
    <w:p>
      <w:pPr>
        <w:spacing w:after="100"/>
      </w:pPr>
      <w:r>
        <w:rPr>
          <w:rFonts w:ascii="Arial" w:hAnsi="Arial" w:eastAsia="宋体"/>
          <w:b w:val="0"/>
          <w:color w:val="000000"/>
          <w:sz w:val="22"/>
        </w:rPr>
        <w:t>17 围术期管理：若确有操作，先核适应证、替代方案、准备及实际完成，再复评肿瘤局部范围、淋巴结、远处及治疗耐受；无操作则转为观察或治疗前安全评估。。</w:t>
      </w:r>
    </w:p>
    <w:p>
      <w:pPr>
        <w:spacing w:after="100"/>
      </w:pPr>
      <w:r>
        <w:rPr>
          <w:rFonts w:ascii="Arial" w:hAnsi="Arial" w:eastAsia="宋体"/>
          <w:b w:val="0"/>
          <w:color w:val="000000"/>
          <w:sz w:val="22"/>
        </w:rPr>
        <w:t>18 并发症及急变：重点危险：肿瘤局部范围、淋巴结、远处及治疗耐受。恶化时立即现场评估并联合06，记录真实异常、处理与反应，不把风险当已发生。。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病例特点：【接触出血、排液、既往筛查病理、生育和既往治疗的实际病史；宫颈肿瘤大小、阴道宫旁等由真实专科检查的实查；真实Hb肝肾等治疗相关实检及影像】</w:t>
        <w:br/>
        <w:t>诊断及依据：【依FIGO2018具体分期依实查影像病理；2025报告不是新分期年份核定本例确定度】</w:t>
        <w:br/>
        <w:t>鉴别诊断：【宫颈癌前、内膜来源、炎症和其他宫颈肿瘤的本例支持反对证据】</w:t>
        <w:br/>
        <w:t>风险及计划：【肿瘤局部范围、淋巴结、远处及治疗耐受及真实医师方案】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宫颈肿瘤大小、阴道宫旁等由真实专科检查中的当次完成项目】，辅助检查【新增且当时可用的真实结果】。目前【围绕核病理和当前治疗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实际姓名】主治医师查房，患者【与宫颈癌相关的当日症状】。查体【当次专科和全身实查】，辅助检查【真实结果及日期】。主治医师分析【核病理和当前治疗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实际姓名】副主任医师查房，患者【与宫颈癌相关的当日症状】。查体【当次专科和全身实查】，辅助检查【真实结果及日期】。副主任医师分析【复核分期依据缺口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宫颈癌相关的当日症状】。查体【当次专科和全身实查】，辅助检查【真实结果及日期】。主任医师分析【决定根治策略及多学科方案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诊断及指征：【真实依据及根治范围淋巴结及标本分区依据实际记录；保生育条件专科核定的实际决定】</w:t>
        <w:br/>
        <w:t>风险替代准备：【肿瘤局部范围、淋巴结、远处及治疗耐受、真实替代方案和准备状态】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即时状态：【与肿瘤局部范围、淋巴结、远处及治疗耐受有关的实查和监测】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肿瘤局部范围、淋巴结、远处及治疗耐受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根治范围淋巴结及标本分区依据实际记录；保生育条件专科核定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住院经过：【与宫颈癌有关的检查及治疗操作实际时间线】</w:t>
        <w:br/>
        <w:t>出院诊断：【证据层级和未决项】</w:t>
        <w:br/>
        <w:t>出院状态：【当次宫颈肿瘤大小、阴道宫旁等由真实专科检查等实际资料】</w:t>
        <w:br/>
        <w:t>后续安排：【病理分期与临床分期核对，治疗衔接及复发症状随访的本例具体责任及时点】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本病随访：【病理分期与临床分期核对，治疗衔接及复发症状随访中的具体复查时点项目责任】</w:t>
        <w:br/>
        <w:t>返院条件：【肿瘤局部范围、淋巴结、远处及治疗耐受对应个体危险症状及就诊方式】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随访管理：病理分期与临床分期核对，治疗衔接及复发症状随访。</w:t>
      </w:r>
    </w:p>
    <w:p>
      <w:pPr>
        <w:spacing w:after="100"/>
      </w:pPr>
      <w:r>
        <w:rPr>
          <w:rFonts w:ascii="Arial" w:hAnsi="Arial" w:eastAsia="宋体"/>
          <w:b w:val="0"/>
          <w:color w:val="000000"/>
          <w:sz w:val="22"/>
        </w:rPr>
        <w:t>32 最终质控：本病优先核核病理和当前治疗、复核分期依据缺口及决定根治策略及多学科方案是否均有真实来源；对象、证据、阶段及代码框按10终审。</w:t>
      </w:r>
    </w:p>
    <w:p>
      <w:pPr>
        <w:spacing w:after="100"/>
      </w:pPr>
      <w:r>
        <w:rPr>
          <w:rFonts w:ascii="Arial" w:hAnsi="Arial" w:eastAsia="宋体"/>
          <w:b w:val="0"/>
          <w:color w:val="000000"/>
          <w:sz w:val="22"/>
        </w:rPr>
        <w:t>33 医学来源：R23、R24、R25、R26、R27，正式名称、年份、核验层级和限制见本模块来源章节；本卡为原创新写文书结构，不冒称指南全文，未核条款不自定推荐等级。</w:t>
      </w:r>
    </w:p>
    <w:p>
      <w:bookmarkStart w:id="83" w:name="b83"/>
      <w:pPr>
        <w:pStyle w:val="Heading2"/>
      </w:pPr>
      <w:r>
        <w:t>03 子宫内膜癌与EIN</w:t>
      </w:r>
      <w:bookmarkEnd w:id="83"/>
    </w:p>
    <w:p>
      <w:pPr>
        <w:spacing w:after="100"/>
      </w:pPr>
      <w:r>
        <w:rPr>
          <w:rFonts w:ascii="Arial" w:hAnsi="Arial" w:eastAsia="宋体"/>
          <w:b w:val="0"/>
          <w:color w:val="000000"/>
          <w:sz w:val="22"/>
        </w:rPr>
        <w:t>01 疾病或情境定义：内膜癌前病变和浸润癌需组织学区分，分子信息可能影响分层。</w:t>
      </w:r>
    </w:p>
    <w:p>
      <w:pPr>
        <w:spacing w:after="100"/>
      </w:pPr>
      <w:r>
        <w:rPr>
          <w:rFonts w:ascii="Arial" w:hAnsi="Arial" w:eastAsia="宋体"/>
          <w:b w:val="0"/>
          <w:color w:val="000000"/>
          <w:sz w:val="22"/>
        </w:rPr>
        <w:t>02 病因和机制：肿瘤发生及传播依原发部位、组织亚型和分子特征，分期描述范围而非单纯标志物水平。。</w:t>
      </w:r>
    </w:p>
    <w:p>
      <w:pPr>
        <w:spacing w:after="100"/>
      </w:pPr>
      <w:r>
        <w:rPr>
          <w:rFonts w:ascii="Arial" w:hAnsi="Arial" w:eastAsia="宋体"/>
          <w:b w:val="0"/>
          <w:color w:val="000000"/>
          <w:sz w:val="22"/>
        </w:rPr>
        <w:t>03 临床表现及情境识别：异常子宫出血尤其绝经后出血常见，内膜癌前或早期癌仍可症状有限。以上为知识范围，当前患者实际表现逐项取证。</w:t>
      </w:r>
    </w:p>
    <w:p>
      <w:pPr>
        <w:spacing w:after="100"/>
      </w:pPr>
      <w:r>
        <w:rPr>
          <w:rFonts w:ascii="Arial" w:hAnsi="Arial" w:eastAsia="宋体"/>
          <w:b w:val="0"/>
          <w:color w:val="000000"/>
          <w:sz w:val="22"/>
        </w:rPr>
        <w:t>04 病史采集：AUB绝经后出血、雌激素暴露、代谢和家族史。</w:t>
      </w:r>
    </w:p>
    <w:p>
      <w:pPr>
        <w:spacing w:after="100"/>
      </w:pPr>
      <w:r>
        <w:rPr>
          <w:rFonts w:ascii="Arial" w:hAnsi="Arial" w:eastAsia="宋体"/>
          <w:b w:val="0"/>
          <w:color w:val="000000"/>
          <w:sz w:val="22"/>
        </w:rPr>
        <w:t>05 专科检查：出血来源及盆腔实查。</w:t>
      </w:r>
    </w:p>
    <w:p>
      <w:pPr>
        <w:spacing w:after="100"/>
      </w:pPr>
      <w:r>
        <w:rPr>
          <w:rFonts w:ascii="Arial" w:hAnsi="Arial" w:eastAsia="宋体"/>
          <w:b w:val="0"/>
          <w:color w:val="000000"/>
          <w:sz w:val="22"/>
        </w:rPr>
        <w:t>06 实验室检查：Hb代谢及治疗相关检验。</w:t>
      </w:r>
    </w:p>
    <w:p>
      <w:pPr>
        <w:spacing w:after="100"/>
      </w:pPr>
      <w:r>
        <w:rPr>
          <w:rFonts w:ascii="Arial" w:hAnsi="Arial" w:eastAsia="宋体"/>
          <w:b w:val="0"/>
          <w:color w:val="000000"/>
          <w:sz w:val="22"/>
        </w:rPr>
        <w:t>07 超声及影像：超声MRI的内膜肌层宫颈及转移范围。</w:t>
      </w:r>
    </w:p>
    <w:p>
      <w:pPr>
        <w:spacing w:after="100"/>
      </w:pPr>
      <w:r>
        <w:rPr>
          <w:rFonts w:ascii="Arial" w:hAnsi="Arial" w:eastAsia="宋体"/>
          <w:b w:val="0"/>
          <w:color w:val="000000"/>
          <w:sz w:val="22"/>
        </w:rPr>
        <w:t>08 病理及特殊检查：活检与切除标本、组织类型级别肌层浸润LVSI淋巴结及POLE MMR p53按实报。</w:t>
      </w:r>
    </w:p>
    <w:p>
      <w:pPr>
        <w:spacing w:after="100"/>
      </w:pPr>
      <w:r>
        <w:rPr>
          <w:rFonts w:ascii="Arial" w:hAnsi="Arial" w:eastAsia="宋体"/>
          <w:b w:val="0"/>
          <w:color w:val="000000"/>
          <w:sz w:val="22"/>
        </w:rPr>
        <w:t>09 诊断标准：注明FIGO2023或实际采用其他正式版本，不用2009深度单变量推2023期别。</w:t>
      </w:r>
    </w:p>
    <w:p>
      <w:pPr>
        <w:spacing w:after="100"/>
      </w:pPr>
      <w:r>
        <w:rPr>
          <w:rFonts w:ascii="Arial" w:hAnsi="Arial" w:eastAsia="宋体"/>
          <w:b w:val="0"/>
          <w:color w:val="000000"/>
          <w:sz w:val="22"/>
        </w:rPr>
        <w:t>10 诊断依据：将本例实际病史、出血来源及盆腔实查和已有检查逐项对应上述标准；列出支持、反对和缺口，不由标准反造事实。。</w:t>
      </w:r>
    </w:p>
    <w:p>
      <w:pPr>
        <w:spacing w:after="100"/>
      </w:pPr>
      <w:r>
        <w:rPr>
          <w:rFonts w:ascii="Arial" w:hAnsi="Arial" w:eastAsia="宋体"/>
          <w:b w:val="0"/>
          <w:color w:val="000000"/>
          <w:sz w:val="22"/>
        </w:rPr>
        <w:t>11 鉴别诊断：息肉良性增生、EIN、宫颈来源和其他子宫肿瘤。</w:t>
      </w:r>
    </w:p>
    <w:p>
      <w:pPr>
        <w:spacing w:after="100"/>
      </w:pPr>
      <w:r>
        <w:rPr>
          <w:rFonts w:ascii="Arial" w:hAnsi="Arial" w:eastAsia="宋体"/>
          <w:b w:val="0"/>
          <w:color w:val="000000"/>
          <w:sz w:val="22"/>
        </w:rPr>
        <w:t>12 分型分期：以本例已满足条件确定体系及版本；本病关注组织类型分级、分期、分子风险与手术耐受，不适用者不强设肿瘤分期。。</w:t>
      </w:r>
    </w:p>
    <w:p>
      <w:pPr>
        <w:spacing w:after="100"/>
      </w:pPr>
      <w:r>
        <w:rPr>
          <w:rFonts w:ascii="Arial" w:hAnsi="Arial" w:eastAsia="宋体"/>
          <w:b w:val="0"/>
          <w:color w:val="000000"/>
          <w:sz w:val="22"/>
        </w:rPr>
        <w:t>13 危险评估：组织类型分级、分期、分子风险与手术耐受。</w:t>
      </w:r>
    </w:p>
    <w:p>
      <w:pPr>
        <w:spacing w:after="100"/>
      </w:pPr>
      <w:r>
        <w:rPr>
          <w:rFonts w:ascii="Arial" w:hAnsi="Arial" w:eastAsia="宋体"/>
          <w:b w:val="0"/>
          <w:color w:val="000000"/>
          <w:sz w:val="22"/>
        </w:rPr>
        <w:t>14 治疗原则：手术及辅助治疗按完整风险证据；保生育治疗仅有资质团队严格选择。</w:t>
      </w:r>
    </w:p>
    <w:p>
      <w:pPr>
        <w:spacing w:after="100"/>
      </w:pPr>
      <w:r>
        <w:rPr>
          <w:rFonts w:ascii="Arial" w:hAnsi="Arial" w:eastAsia="宋体"/>
          <w:b w:val="0"/>
          <w:color w:val="000000"/>
          <w:sz w:val="22"/>
        </w:rPr>
        <w:t>15 手术或分娩决策：子宫附件淋巴结标本和实际手术范围独立，未清扫不写阴性。</w:t>
      </w:r>
    </w:p>
    <w:p>
      <w:pPr>
        <w:spacing w:after="100"/>
      </w:pPr>
      <w:r>
        <w:rPr>
          <w:rFonts w:ascii="Arial" w:hAnsi="Arial" w:eastAsia="宋体"/>
          <w:b w:val="0"/>
          <w:color w:val="000000"/>
          <w:sz w:val="22"/>
        </w:rPr>
        <w:t>16 相关操作：仅纳入本例确有指征的操作并关联05：子宫附件淋巴结标本和实际手术范围独立，未清扫不写阴性。</w:t>
      </w:r>
    </w:p>
    <w:p>
      <w:pPr>
        <w:spacing w:after="100"/>
      </w:pPr>
      <w:r>
        <w:rPr>
          <w:rFonts w:ascii="Arial" w:hAnsi="Arial" w:eastAsia="宋体"/>
          <w:b w:val="0"/>
          <w:color w:val="000000"/>
          <w:sz w:val="22"/>
        </w:rPr>
        <w:t>17 围术期管理：若确有操作，先核适应证、替代方案、准备及实际完成，再复评组织类型分级、分期、分子风险与手术耐受；无操作则转为观察或治疗前安全评估。。</w:t>
      </w:r>
    </w:p>
    <w:p>
      <w:pPr>
        <w:spacing w:after="100"/>
      </w:pPr>
      <w:r>
        <w:rPr>
          <w:rFonts w:ascii="Arial" w:hAnsi="Arial" w:eastAsia="宋体"/>
          <w:b w:val="0"/>
          <w:color w:val="000000"/>
          <w:sz w:val="22"/>
        </w:rPr>
        <w:t>18 并发症及急变：重点危险：组织类型分级、分期、分子风险与手术耐受。恶化时立即现场评估并联合06，记录真实异常、处理与反应，不把风险当已发生。。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病例特点：【AUB绝经后出血、雌激素暴露、代谢和家族史的实际病史；出血来源及盆腔实查的实查；真实Hb代谢及治疗相关检验及影像】</w:t>
        <w:br/>
        <w:t>诊断及依据：【依注明FIGO2023或实际采用其他正式版本，不用2009深度单变量推2023期别核定本例确定度】</w:t>
        <w:br/>
        <w:t>鉴别诊断：【息肉良性增生、EIN、宫颈来源和其他子宫肿瘤的本例支持反对证据】</w:t>
        <w:br/>
        <w:t>风险及计划：【组织类型分级、分期、分子风险与手术耐受及真实医师方案】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出血来源及盆腔实查中的当次完成项目】，辅助检查【新增且当时可用的真实结果】。目前【围绕核病理分项及待回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子宫内膜癌与EIN相关的当日症状】。查体【当次专科和全身实查】，辅助检查【真实结果及日期】。主治医师分析【核病理分项及待回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子宫内膜癌与EIN相关的当日症状】。查体【当次专科和全身实查】，辅助检查【真实结果及日期】。副主任医师分析【复核FIGO版本及风险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子宫内膜癌与EIN相关的当日症状】。查体【当次专科和全身实查】，辅助检查【真实结果及日期】。主任医师分析【决定辅助治疗和保生育重大策略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诊断及指征：【真实依据及子宫附件淋巴结标本和实际手术范围独立，未清扫不写阴性的实际决定】</w:t>
        <w:br/>
        <w:t>风险替代准备：【组织类型分级、分期、分子风险与手术耐受、真实替代方案和准备状态】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即时状态：【与组织类型分级、分期、分子风险与手术耐受有关的实查和监测】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组织类型分级、分期、分子风险与手术耐受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子宫附件淋巴结标本和实际手术范围独立，未清扫不写阴性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住院经过：【与子宫内膜癌与EIN有关的检查及治疗操作实际时间线】</w:t>
        <w:br/>
        <w:t>出院诊断：【证据层级和未决项】</w:t>
        <w:br/>
        <w:t>出院状态：【当次出血来源及盆腔实查等实际资料】</w:t>
        <w:br/>
        <w:t>后续安排：【未回分子结果指定跟踪，最终分层修正及肿瘤随访的本例具体责任及时点】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本病随访：【未回分子结果指定跟踪，最终分层修正及肿瘤随访中的具体复查时点项目责任】</w:t>
        <w:br/>
        <w:t>返院条件：【组织类型分级、分期、分子风险与手术耐受对应个体危险症状及就诊方式】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随访管理：未回分子结果指定跟踪，最终分层修正及肿瘤随访。</w:t>
      </w:r>
    </w:p>
    <w:p>
      <w:pPr>
        <w:spacing w:after="100"/>
      </w:pPr>
      <w:r>
        <w:rPr>
          <w:rFonts w:ascii="Arial" w:hAnsi="Arial" w:eastAsia="宋体"/>
          <w:b w:val="0"/>
          <w:color w:val="000000"/>
          <w:sz w:val="22"/>
        </w:rPr>
        <w:t>32 最终质控：本病优先核核病理分项及待回、复核FIGO版本及风险及决定辅助治疗和保生育重大策略是否均有真实来源；对象、证据、阶段及代码框按10终审。</w:t>
      </w:r>
    </w:p>
    <w:p>
      <w:pPr>
        <w:spacing w:after="100"/>
      </w:pPr>
      <w:r>
        <w:rPr>
          <w:rFonts w:ascii="Arial" w:hAnsi="Arial" w:eastAsia="宋体"/>
          <w:b w:val="0"/>
          <w:color w:val="000000"/>
          <w:sz w:val="22"/>
        </w:rPr>
        <w:t>33 医学来源：R23、R24、R25、R26、R27，正式名称、年份、核验层级和限制见本模块来源章节；本卡为原创新写文书结构，不冒称指南全文，未核条款不自定推荐等级。</w:t>
      </w:r>
    </w:p>
    <w:p>
      <w:bookmarkStart w:id="120" w:name="b120"/>
      <w:pPr>
        <w:pStyle w:val="Heading2"/>
      </w:pPr>
      <w:r>
        <w:t>04 子宫肉瘤及恶性潜能未定肿瘤</w:t>
      </w:r>
      <w:bookmarkEnd w:id="120"/>
    </w:p>
    <w:p>
      <w:pPr>
        <w:spacing w:after="100"/>
      </w:pPr>
      <w:r>
        <w:rPr>
          <w:rFonts w:ascii="Arial" w:hAnsi="Arial" w:eastAsia="宋体"/>
          <w:b w:val="0"/>
          <w:color w:val="000000"/>
          <w:sz w:val="22"/>
        </w:rPr>
        <w:t>01 疾病或情境定义：肉瘤与平滑肌瘤或STUMP需组织学和必要复核区分。</w:t>
      </w:r>
    </w:p>
    <w:p>
      <w:pPr>
        <w:spacing w:after="100"/>
      </w:pPr>
      <w:r>
        <w:rPr>
          <w:rFonts w:ascii="Arial" w:hAnsi="Arial" w:eastAsia="宋体"/>
          <w:b w:val="0"/>
          <w:color w:val="000000"/>
          <w:sz w:val="22"/>
        </w:rPr>
        <w:t>02 病因和机制：良恶性和原发转移有不同生物学；组织、解剖范围及治疗暴露必须分别分析。。</w:t>
      </w:r>
    </w:p>
    <w:p>
      <w:pPr>
        <w:spacing w:after="100"/>
      </w:pPr>
      <w:r>
        <w:rPr>
          <w:rFonts w:ascii="Arial" w:hAnsi="Arial" w:eastAsia="宋体"/>
          <w:b w:val="0"/>
          <w:color w:val="000000"/>
          <w:sz w:val="22"/>
        </w:rPr>
        <w:t>03 临床表现及情境识别：出血、包块增大、压迫或疼痛可见，快速生长不能单独确诊肉瘤。以上为知识范围，当前患者实际表现逐项取证。</w:t>
      </w:r>
    </w:p>
    <w:p>
      <w:pPr>
        <w:spacing w:after="100"/>
      </w:pPr>
      <w:r>
        <w:rPr>
          <w:rFonts w:ascii="Arial" w:hAnsi="Arial" w:eastAsia="宋体"/>
          <w:b w:val="0"/>
          <w:color w:val="000000"/>
          <w:sz w:val="22"/>
        </w:rPr>
        <w:t>04 病史采集：绝经状态增长症状、既往碎瘤及手术。</w:t>
      </w:r>
    </w:p>
    <w:p>
      <w:pPr>
        <w:spacing w:after="100"/>
      </w:pPr>
      <w:r>
        <w:rPr>
          <w:rFonts w:ascii="Arial" w:hAnsi="Arial" w:eastAsia="宋体"/>
          <w:b w:val="0"/>
          <w:color w:val="000000"/>
          <w:sz w:val="22"/>
        </w:rPr>
        <w:t>05 专科检查：子宫包块和全身状态实际。</w:t>
      </w:r>
    </w:p>
    <w:p>
      <w:pPr>
        <w:spacing w:after="100"/>
      </w:pPr>
      <w:r>
        <w:rPr>
          <w:rFonts w:ascii="Arial" w:hAnsi="Arial" w:eastAsia="宋体"/>
          <w:b w:val="0"/>
          <w:color w:val="000000"/>
          <w:sz w:val="22"/>
        </w:rPr>
        <w:t>06 实验室检查：Hb器官功能，标志物不能定肉瘤。</w:t>
      </w:r>
    </w:p>
    <w:p>
      <w:pPr>
        <w:spacing w:after="100"/>
      </w:pPr>
      <w:r>
        <w:rPr>
          <w:rFonts w:ascii="Arial" w:hAnsi="Arial" w:eastAsia="宋体"/>
          <w:b w:val="0"/>
          <w:color w:val="000000"/>
          <w:sz w:val="22"/>
        </w:rPr>
        <w:t>07 超声及影像：MRI及适用全身影像，快速长大非确诊。</w:t>
      </w:r>
    </w:p>
    <w:p>
      <w:pPr>
        <w:spacing w:after="100"/>
      </w:pPr>
      <w:r>
        <w:rPr>
          <w:rFonts w:ascii="Arial" w:hAnsi="Arial" w:eastAsia="宋体"/>
          <w:b w:val="0"/>
          <w:color w:val="000000"/>
          <w:sz w:val="22"/>
        </w:rPr>
        <w:t>08 病理及特殊检查：标本完整性、细胞异型核分裂坏死及免疫复核。</w:t>
      </w:r>
    </w:p>
    <w:p>
      <w:pPr>
        <w:spacing w:after="100"/>
      </w:pPr>
      <w:r>
        <w:rPr>
          <w:rFonts w:ascii="Arial" w:hAnsi="Arial" w:eastAsia="宋体"/>
          <w:b w:val="0"/>
          <w:color w:val="000000"/>
          <w:sz w:val="22"/>
        </w:rPr>
        <w:t>09 诊断标准：具体组织类型和对应分期体系，不把内膜癌分期机械套全部子宫肿瘤。</w:t>
      </w:r>
    </w:p>
    <w:p>
      <w:pPr>
        <w:spacing w:after="100"/>
      </w:pPr>
      <w:r>
        <w:rPr>
          <w:rFonts w:ascii="Arial" w:hAnsi="Arial" w:eastAsia="宋体"/>
          <w:b w:val="0"/>
          <w:color w:val="000000"/>
          <w:sz w:val="22"/>
        </w:rPr>
        <w:t>10 诊断依据：将本例实际病史、子宫包块和全身状态实际和已有检查逐项对应上述标准；列出支持、反对和缺口，不由标准反造事实。。</w:t>
      </w:r>
    </w:p>
    <w:p>
      <w:pPr>
        <w:spacing w:after="100"/>
      </w:pPr>
      <w:r>
        <w:rPr>
          <w:rFonts w:ascii="Arial" w:hAnsi="Arial" w:eastAsia="宋体"/>
          <w:b w:val="0"/>
          <w:color w:val="000000"/>
          <w:sz w:val="22"/>
        </w:rPr>
        <w:t>11 鉴别诊断：良性肌瘤、变性、STUMP及其他肉瘤。</w:t>
      </w:r>
    </w:p>
    <w:p>
      <w:pPr>
        <w:spacing w:after="100"/>
      </w:pPr>
      <w:r>
        <w:rPr>
          <w:rFonts w:ascii="Arial" w:hAnsi="Arial" w:eastAsia="宋体"/>
          <w:b w:val="0"/>
          <w:color w:val="000000"/>
          <w:sz w:val="22"/>
        </w:rPr>
        <w:t>12 分型分期：以本例已满足条件确定体系及版本；本病关注组织学风险、扩散、碎瘤暴露与器官耐受，不适用者不强设肿瘤分期。。</w:t>
      </w:r>
    </w:p>
    <w:p>
      <w:pPr>
        <w:spacing w:after="100"/>
      </w:pPr>
      <w:r>
        <w:rPr>
          <w:rFonts w:ascii="Arial" w:hAnsi="Arial" w:eastAsia="宋体"/>
          <w:b w:val="0"/>
          <w:color w:val="000000"/>
          <w:sz w:val="22"/>
        </w:rPr>
        <w:t>13 危险评估：组织学风险、扩散、碎瘤暴露与器官耐受。</w:t>
      </w:r>
    </w:p>
    <w:p>
      <w:pPr>
        <w:spacing w:after="100"/>
      </w:pPr>
      <w:r>
        <w:rPr>
          <w:rFonts w:ascii="Arial" w:hAnsi="Arial" w:eastAsia="宋体"/>
          <w:b w:val="0"/>
          <w:color w:val="000000"/>
          <w:sz w:val="22"/>
        </w:rPr>
        <w:t>14 治疗原则：妇瘤病理多科复核，治疗按亚型。</w:t>
      </w:r>
    </w:p>
    <w:p>
      <w:pPr>
        <w:spacing w:after="100"/>
      </w:pPr>
      <w:r>
        <w:rPr>
          <w:rFonts w:ascii="Arial" w:hAnsi="Arial" w:eastAsia="宋体"/>
          <w:b w:val="0"/>
          <w:color w:val="000000"/>
          <w:sz w:val="22"/>
        </w:rPr>
        <w:t>15 手术或分娩决策：手术范围和标本取出方式据实，不能无依据写整块无播散。</w:t>
      </w:r>
    </w:p>
    <w:p>
      <w:pPr>
        <w:spacing w:after="100"/>
      </w:pPr>
      <w:r>
        <w:rPr>
          <w:rFonts w:ascii="Arial" w:hAnsi="Arial" w:eastAsia="宋体"/>
          <w:b w:val="0"/>
          <w:color w:val="000000"/>
          <w:sz w:val="22"/>
        </w:rPr>
        <w:t>16 相关操作：仅纳入本例确有指征的操作并关联05：手术范围和标本取出方式据实，不能无依据写整块无播散。</w:t>
      </w:r>
    </w:p>
    <w:p>
      <w:pPr>
        <w:spacing w:after="100"/>
      </w:pPr>
      <w:r>
        <w:rPr>
          <w:rFonts w:ascii="Arial" w:hAnsi="Arial" w:eastAsia="宋体"/>
          <w:b w:val="0"/>
          <w:color w:val="000000"/>
          <w:sz w:val="22"/>
        </w:rPr>
        <w:t>17 围术期管理：若确有操作，先核适应证、替代方案、准备及实际完成，再复评组织学风险、扩散、碎瘤暴露与器官耐受；无操作则转为观察或治疗前安全评估。。</w:t>
      </w:r>
    </w:p>
    <w:p>
      <w:pPr>
        <w:spacing w:after="100"/>
      </w:pPr>
      <w:r>
        <w:rPr>
          <w:rFonts w:ascii="Arial" w:hAnsi="Arial" w:eastAsia="宋体"/>
          <w:b w:val="0"/>
          <w:color w:val="000000"/>
          <w:sz w:val="22"/>
        </w:rPr>
        <w:t>18 并发症及急变：重点危险：组织学风险、扩散、碎瘤暴露与器官耐受。恶化时立即现场评估并联合06，记录真实异常、处理与反应，不把风险当已发生。。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病例特点：【绝经状态增长症状、既往碎瘤及手术的实际病史；子宫包块和全身状态实际的实查；真实Hb器官功能，标志物不能定肉瘤及影像】</w:t>
        <w:br/>
        <w:t>诊断及依据：【依具体组织类型和对应分期体系，不把内膜癌分期机械套全部子宫肿瘤核定本例确定度】</w:t>
        <w:br/>
        <w:t>鉴别诊断：【良性肌瘤、变性、STUMP及其他肉瘤的本例支持反对证据】</w:t>
        <w:br/>
        <w:t>风险及计划：【组织学风险、扩散、碎瘤暴露与器官耐受及真实医师方案】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子宫包块和全身状态实际中的当次完成项目】，辅助检查【新增且当时可用的真实结果】。目前【围绕核标本及病理确定度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子宫肉瘤及恶性潜能未定肿瘤相关的当日症状】。查体【当次专科和全身实查】，辅助检查【真实结果及日期】。主治医师分析【核标本及病理确定度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子宫肉瘤及恶性潜能未定肿瘤相关的当日症状】。查体【当次专科和全身实查】，辅助检查【真实结果及日期】。副主任医师分析【复核亚型及影像范围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子宫肉瘤及恶性潜能未定肿瘤相关的当日症状】。查体【当次专科和全身实查】，辅助检查【真实结果及日期】。主任医师分析【决定疑难病理与综合治疗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诊断及指征：【真实依据及手术范围和标本取出方式据实，不能无依据写整块无播散的实际决定】</w:t>
        <w:br/>
        <w:t>风险替代准备：【组织学风险、扩散、碎瘤暴露与器官耐受、真实替代方案和准备状态】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即时状态：【与组织学风险、扩散、碎瘤暴露与器官耐受有关的实查和监测】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组织学风险、扩散、碎瘤暴露与器官耐受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手术范围和标本取出方式据实，不能无依据写整块无播散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住院经过：【与子宫肉瘤及恶性潜能未定肿瘤有关的检查及治疗操作实际时间线】</w:t>
        <w:br/>
        <w:t>出院诊断：【证据层级和未决项】</w:t>
        <w:br/>
        <w:t>出院状态：【当次子宫包块和全身状态实际等实际资料】</w:t>
        <w:br/>
        <w:t>后续安排：【亚型特异影像和长期复发随访的本例具体责任及时点】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本病随访：【亚型特异影像和长期复发随访中的具体复查时点项目责任】</w:t>
        <w:br/>
        <w:t>返院条件：【组织学风险、扩散、碎瘤暴露与器官耐受对应个体危险症状及就诊方式】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随访管理：亚型特异影像和长期复发随访。</w:t>
      </w:r>
    </w:p>
    <w:p>
      <w:pPr>
        <w:spacing w:after="100"/>
      </w:pPr>
      <w:r>
        <w:rPr>
          <w:rFonts w:ascii="Arial" w:hAnsi="Arial" w:eastAsia="宋体"/>
          <w:b w:val="0"/>
          <w:color w:val="000000"/>
          <w:sz w:val="22"/>
        </w:rPr>
        <w:t>32 最终质控：本病优先核核标本及病理确定度、复核亚型及影像范围及决定疑难病理与综合治疗是否均有真实来源；对象、证据、阶段及代码框按10终审。</w:t>
      </w:r>
    </w:p>
    <w:p>
      <w:pPr>
        <w:spacing w:after="100"/>
      </w:pPr>
      <w:r>
        <w:rPr>
          <w:rFonts w:ascii="Arial" w:hAnsi="Arial" w:eastAsia="宋体"/>
          <w:b w:val="0"/>
          <w:color w:val="000000"/>
          <w:sz w:val="22"/>
        </w:rPr>
        <w:t>33 医学来源：R23、R24、R25、R26、R27，正式名称、年份、核验层级和限制见本模块来源章节；本卡为原创新写文书结构，不冒称指南全文，未核条款不自定推荐等级。</w:t>
      </w:r>
    </w:p>
    <w:p>
      <w:bookmarkStart w:id="157" w:name="b157"/>
      <w:pPr>
        <w:pStyle w:val="Heading2"/>
      </w:pPr>
      <w:r>
        <w:t>05 卵巢输卵管及原发腹膜恶性肿瘤</w:t>
      </w:r>
      <w:bookmarkEnd w:id="157"/>
    </w:p>
    <w:p>
      <w:pPr>
        <w:spacing w:after="100"/>
      </w:pPr>
      <w:r>
        <w:rPr>
          <w:rFonts w:ascii="Arial" w:hAnsi="Arial" w:eastAsia="宋体"/>
          <w:b w:val="0"/>
          <w:color w:val="000000"/>
          <w:sz w:val="22"/>
        </w:rPr>
        <w:t>01 疾病或情境定义：来源与组织亚型决定评估和治疗，附件影像不等恶性确诊。</w:t>
      </w:r>
    </w:p>
    <w:p>
      <w:pPr>
        <w:spacing w:after="100"/>
      </w:pPr>
      <w:r>
        <w:rPr>
          <w:rFonts w:ascii="Arial" w:hAnsi="Arial" w:eastAsia="宋体"/>
          <w:b w:val="0"/>
          <w:color w:val="000000"/>
          <w:sz w:val="22"/>
        </w:rPr>
        <w:t>02 病因和机制：良恶性和原发转移有不同生物学；组织、解剖范围及治疗暴露必须分别分析。。</w:t>
      </w:r>
    </w:p>
    <w:p>
      <w:pPr>
        <w:spacing w:after="100"/>
      </w:pPr>
      <w:r>
        <w:rPr>
          <w:rFonts w:ascii="Arial" w:hAnsi="Arial" w:eastAsia="宋体"/>
          <w:b w:val="0"/>
          <w:color w:val="000000"/>
          <w:sz w:val="22"/>
        </w:rPr>
        <w:t>03 临床表现及情境识别：腹胀腹痛、早饱、盆腔包块或腹水，早期可无明显症状。以上为知识范围，当前患者实际表现逐项取证。</w:t>
      </w:r>
    </w:p>
    <w:p>
      <w:pPr>
        <w:spacing w:after="100"/>
      </w:pPr>
      <w:r>
        <w:rPr>
          <w:rFonts w:ascii="Arial" w:hAnsi="Arial" w:eastAsia="宋体"/>
          <w:b w:val="0"/>
          <w:color w:val="000000"/>
          <w:sz w:val="22"/>
        </w:rPr>
        <w:t>04 病史采集：腹胀痛腹水体重变化、家族遗传和既往治疗。</w:t>
      </w:r>
    </w:p>
    <w:p>
      <w:pPr>
        <w:spacing w:after="100"/>
      </w:pPr>
      <w:r>
        <w:rPr>
          <w:rFonts w:ascii="Arial" w:hAnsi="Arial" w:eastAsia="宋体"/>
          <w:b w:val="0"/>
          <w:color w:val="000000"/>
          <w:sz w:val="22"/>
        </w:rPr>
        <w:t>05 专科检查：包块侧别腹水及全身状态。</w:t>
      </w:r>
    </w:p>
    <w:p>
      <w:pPr>
        <w:spacing w:after="100"/>
      </w:pPr>
      <w:r>
        <w:rPr>
          <w:rFonts w:ascii="Arial" w:hAnsi="Arial" w:eastAsia="宋体"/>
          <w:b w:val="0"/>
          <w:color w:val="000000"/>
          <w:sz w:val="22"/>
        </w:rPr>
        <w:t>06 实验室检查：CA125等按背景解释，血液肝肾用于耐受。</w:t>
      </w:r>
    </w:p>
    <w:p>
      <w:pPr>
        <w:spacing w:after="100"/>
      </w:pPr>
      <w:r>
        <w:rPr>
          <w:rFonts w:ascii="Arial" w:hAnsi="Arial" w:eastAsia="宋体"/>
          <w:b w:val="0"/>
          <w:color w:val="000000"/>
          <w:sz w:val="22"/>
        </w:rPr>
        <w:t>07 超声及影像：盆腹胸影像、腹膜淋巴结转移和可切除性。</w:t>
      </w:r>
    </w:p>
    <w:p>
      <w:pPr>
        <w:spacing w:after="100"/>
      </w:pPr>
      <w:r>
        <w:rPr>
          <w:rFonts w:ascii="Arial" w:hAnsi="Arial" w:eastAsia="宋体"/>
          <w:b w:val="0"/>
          <w:color w:val="000000"/>
          <w:sz w:val="22"/>
        </w:rPr>
        <w:t>08 病理及特殊检查：冰冻与正式石蜡、包膜破裂时点冲洗液、分区组织与分子。</w:t>
      </w:r>
    </w:p>
    <w:p>
      <w:pPr>
        <w:spacing w:after="100"/>
      </w:pPr>
      <w:r>
        <w:rPr>
          <w:rFonts w:ascii="Arial" w:hAnsi="Arial" w:eastAsia="宋体"/>
          <w:b w:val="0"/>
          <w:color w:val="000000"/>
          <w:sz w:val="22"/>
        </w:rPr>
        <w:t>09 诊断标准：FIGO2014体系及正式补充，包膜破裂发生于术前或术中不得混写。</w:t>
      </w:r>
    </w:p>
    <w:p>
      <w:pPr>
        <w:spacing w:after="100"/>
      </w:pPr>
      <w:r>
        <w:rPr>
          <w:rFonts w:ascii="Arial" w:hAnsi="Arial" w:eastAsia="宋体"/>
          <w:b w:val="0"/>
          <w:color w:val="000000"/>
          <w:sz w:val="22"/>
        </w:rPr>
        <w:t>10 诊断依据：将本例实际病史、包块侧别腹水及全身状态和已有检查逐项对应上述标准；列出支持、反对和缺口，不由标准反造事实。。</w:t>
      </w:r>
    </w:p>
    <w:p>
      <w:pPr>
        <w:spacing w:after="100"/>
      </w:pPr>
      <w:r>
        <w:rPr>
          <w:rFonts w:ascii="Arial" w:hAnsi="Arial" w:eastAsia="宋体"/>
          <w:b w:val="0"/>
          <w:color w:val="000000"/>
          <w:sz w:val="22"/>
        </w:rPr>
        <w:t>11 鉴别诊断：良性囊肿、交界性、胃肠转移、内异症和结核。</w:t>
      </w:r>
    </w:p>
    <w:p>
      <w:pPr>
        <w:spacing w:after="100"/>
      </w:pPr>
      <w:r>
        <w:rPr>
          <w:rFonts w:ascii="Arial" w:hAnsi="Arial" w:eastAsia="宋体"/>
          <w:b w:val="0"/>
          <w:color w:val="000000"/>
          <w:sz w:val="22"/>
        </w:rPr>
        <w:t>12 分型分期：以本例已满足条件确定体系及版本；本病关注组织亚型、分期证据、残余病灶和体能，不适用者不强设肿瘤分期。。</w:t>
      </w:r>
    </w:p>
    <w:p>
      <w:pPr>
        <w:spacing w:after="100"/>
      </w:pPr>
      <w:r>
        <w:rPr>
          <w:rFonts w:ascii="Arial" w:hAnsi="Arial" w:eastAsia="宋体"/>
          <w:b w:val="0"/>
          <w:color w:val="000000"/>
          <w:sz w:val="22"/>
        </w:rPr>
        <w:t>13 危险评估：组织亚型、分期证据、残余病灶和体能。</w:t>
      </w:r>
    </w:p>
    <w:p>
      <w:pPr>
        <w:spacing w:after="100"/>
      </w:pPr>
      <w:r>
        <w:rPr>
          <w:rFonts w:ascii="Arial" w:hAnsi="Arial" w:eastAsia="宋体"/>
          <w:b w:val="0"/>
          <w:color w:val="000000"/>
          <w:sz w:val="22"/>
        </w:rPr>
        <w:t>14 治疗原则：初始手术或新辅助等需病理及多科真实判断。</w:t>
      </w:r>
    </w:p>
    <w:p>
      <w:pPr>
        <w:spacing w:after="100"/>
      </w:pPr>
      <w:r>
        <w:rPr>
          <w:rFonts w:ascii="Arial" w:hAnsi="Arial" w:eastAsia="宋体"/>
          <w:b w:val="0"/>
          <w:color w:val="000000"/>
          <w:sz w:val="22"/>
        </w:rPr>
        <w:t>15 手术或分娩决策：肿瘤减灭、分期取样和实际残余最大灶位置尺寸分别记；未测不填R0。</w:t>
      </w:r>
    </w:p>
    <w:p>
      <w:pPr>
        <w:spacing w:after="100"/>
      </w:pPr>
      <w:r>
        <w:rPr>
          <w:rFonts w:ascii="Arial" w:hAnsi="Arial" w:eastAsia="宋体"/>
          <w:b w:val="0"/>
          <w:color w:val="000000"/>
          <w:sz w:val="22"/>
        </w:rPr>
        <w:t>16 相关操作：仅纳入本例确有指征的操作并关联05：肿瘤减灭、分期取样和实际残余最大灶位置尺寸分别记；未测不填R0。</w:t>
      </w:r>
    </w:p>
    <w:p>
      <w:pPr>
        <w:spacing w:after="100"/>
      </w:pPr>
      <w:r>
        <w:rPr>
          <w:rFonts w:ascii="Arial" w:hAnsi="Arial" w:eastAsia="宋体"/>
          <w:b w:val="0"/>
          <w:color w:val="000000"/>
          <w:sz w:val="22"/>
        </w:rPr>
        <w:t>17 围术期管理：若确有操作，先核适应证、替代方案、准备及实际完成，再复评组织亚型、分期证据、残余病灶和体能；无操作则转为观察或治疗前安全评估。。</w:t>
      </w:r>
    </w:p>
    <w:p>
      <w:pPr>
        <w:spacing w:after="100"/>
      </w:pPr>
      <w:r>
        <w:rPr>
          <w:rFonts w:ascii="Arial" w:hAnsi="Arial" w:eastAsia="宋体"/>
          <w:b w:val="0"/>
          <w:color w:val="000000"/>
          <w:sz w:val="22"/>
        </w:rPr>
        <w:t>18 并发症及急变：重点危险：组织亚型、分期证据、残余病灶和体能。恶化时立即现场评估并联合06，记录真实异常、处理与反应，不把风险当已发生。。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病例特点：【腹胀痛腹水体重变化、家族遗传和既往治疗的实际病史；包块侧别腹水及全身状态的实查；真实CA125等按背景解释，血液肝肾用于耐受及影像】</w:t>
        <w:br/>
        <w:t>诊断及依据：【依FIGO2014体系及正式补充，包膜破裂发生于术前或术中不得混写核定本例确定度】</w:t>
        <w:br/>
        <w:t>鉴别诊断：【良性囊肿、交界性、胃肠转移、内异症和结核的本例支持反对证据】</w:t>
        <w:br/>
        <w:t>风险及计划：【组织亚型、分期证据、残余病灶和体能及真实医师方案】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包块侧别腹水及全身状态中的当次完成项目】，辅助检查【新增且当时可用的真实结果】。目前【围绕核左右标本与病理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卵巢输卵管及原发腹膜恶性肿瘤相关的当日症状】。查体【当次专科和全身实查】，辅助检查【真实结果及日期】。主治医师分析【核左右标本与病理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卵巢输卵管及原发腹膜恶性肿瘤相关的当日症状】。查体【当次专科和全身实查】，辅助检查【真实结果及日期】。副主任医师分析【复核分期及残余证据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卵巢输卵管及原发腹膜恶性肿瘤相关的当日症状】。查体【当次专科和全身实查】，辅助检查【真实结果及日期】。主任医师分析【决定初始与后续综合治疗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诊断及指征：【真实依据及肿瘤减灭、分期取样和实际残余最大灶位置尺寸分别记；未测不填R0的实际决定】</w:t>
        <w:br/>
        <w:t>风险替代准备：【组织亚型、分期证据、残余病灶和体能、真实替代方案和准备状态】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即时状态：【与组织亚型、分期证据、残余病灶和体能有关的实查和监测】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组织亚型、分期证据、残余病灶和体能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肿瘤减灭、分期取样和实际残余最大灶位置尺寸分别记；未测不填R0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住院经过：【与卵巢输卵管及原发腹膜恶性肿瘤有关的检查及治疗操作实际时间线】</w:t>
        <w:br/>
        <w:t>出院诊断：【证据层级和未决项】</w:t>
        <w:br/>
        <w:t>出院状态：【当次包块侧别腹水及全身状态等实际资料】</w:t>
        <w:br/>
        <w:t>后续安排：【正式病理分子、治疗衔接、毒性及复发评估的本例具体责任及时点】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本病随访：【正式病理分子、治疗衔接、毒性及复发评估中的具体复查时点项目责任】</w:t>
        <w:br/>
        <w:t>返院条件：【组织亚型、分期证据、残余病灶和体能对应个体危险症状及就诊方式】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随访管理：正式病理分子、治疗衔接、毒性及复发评估。</w:t>
      </w:r>
    </w:p>
    <w:p>
      <w:pPr>
        <w:spacing w:after="100"/>
      </w:pPr>
      <w:r>
        <w:rPr>
          <w:rFonts w:ascii="Arial" w:hAnsi="Arial" w:eastAsia="宋体"/>
          <w:b w:val="0"/>
          <w:color w:val="000000"/>
          <w:sz w:val="22"/>
        </w:rPr>
        <w:t>32 最终质控：本病优先核核左右标本与病理、复核分期及残余证据及决定初始与后续综合治疗是否均有真实来源；对象、证据、阶段及代码框按10终审。</w:t>
      </w:r>
    </w:p>
    <w:p>
      <w:pPr>
        <w:spacing w:after="100"/>
      </w:pPr>
      <w:r>
        <w:rPr>
          <w:rFonts w:ascii="Arial" w:hAnsi="Arial" w:eastAsia="宋体"/>
          <w:b w:val="0"/>
          <w:color w:val="000000"/>
          <w:sz w:val="22"/>
        </w:rPr>
        <w:t>33 医学来源：R23、R24、R25、R26、R27，正式名称、年份、核验层级和限制见本模块来源章节；本卡为原创新写文书结构，不冒称指南全文，未核条款不自定推荐等级。</w:t>
      </w:r>
    </w:p>
    <w:p>
      <w:bookmarkStart w:id="194" w:name="b194"/>
      <w:pPr>
        <w:pStyle w:val="Heading2"/>
      </w:pPr>
      <w:r>
        <w:t>06 外阴和阴道恶性肿瘤</w:t>
      </w:r>
      <w:bookmarkEnd w:id="194"/>
    </w:p>
    <w:p>
      <w:pPr>
        <w:spacing w:after="100"/>
      </w:pPr>
      <w:r>
        <w:rPr>
          <w:rFonts w:ascii="Arial" w:hAnsi="Arial" w:eastAsia="宋体"/>
          <w:b w:val="0"/>
          <w:color w:val="000000"/>
          <w:sz w:val="22"/>
        </w:rPr>
        <w:t>01 疾病或情境定义：两部位肿瘤分期不同，需原发部位和病理。</w:t>
      </w:r>
    </w:p>
    <w:p>
      <w:pPr>
        <w:spacing w:after="100"/>
      </w:pPr>
      <w:r>
        <w:rPr>
          <w:rFonts w:ascii="Arial" w:hAnsi="Arial" w:eastAsia="宋体"/>
          <w:b w:val="0"/>
          <w:color w:val="000000"/>
          <w:sz w:val="22"/>
        </w:rPr>
        <w:t>02 病因和机制：良恶性和原发转移有不同生物学；组织、解剖范围及治疗暴露必须分别分析。。</w:t>
      </w:r>
    </w:p>
    <w:p>
      <w:pPr>
        <w:spacing w:after="100"/>
      </w:pPr>
      <w:r>
        <w:rPr>
          <w:rFonts w:ascii="Arial" w:hAnsi="Arial" w:eastAsia="宋体"/>
          <w:b w:val="0"/>
          <w:color w:val="000000"/>
          <w:sz w:val="22"/>
        </w:rPr>
        <w:t>03 临床表现及情境识别：外阴瘙痒肿块溃疡或出血，阴道肿瘤可有排血排液；两部位症状和原发来源需区分。以上为知识范围，当前患者实际表现逐项取证。</w:t>
      </w:r>
    </w:p>
    <w:p>
      <w:pPr>
        <w:spacing w:after="100"/>
      </w:pPr>
      <w:r>
        <w:rPr>
          <w:rFonts w:ascii="Arial" w:hAnsi="Arial" w:eastAsia="宋体"/>
          <w:b w:val="0"/>
          <w:color w:val="000000"/>
          <w:sz w:val="22"/>
        </w:rPr>
        <w:t>04 病史采集：瘙痒溃疡出血、既往病变HPV和治疗。</w:t>
      </w:r>
    </w:p>
    <w:p>
      <w:pPr>
        <w:spacing w:after="100"/>
      </w:pPr>
      <w:r>
        <w:rPr>
          <w:rFonts w:ascii="Arial" w:hAnsi="Arial" w:eastAsia="宋体"/>
          <w:b w:val="0"/>
          <w:color w:val="000000"/>
          <w:sz w:val="22"/>
        </w:rPr>
        <w:t>05 专科检查：病灶精确部位、尺寸邻近结构及腹股沟节点实查。</w:t>
      </w:r>
    </w:p>
    <w:p>
      <w:pPr>
        <w:spacing w:after="100"/>
      </w:pPr>
      <w:r>
        <w:rPr>
          <w:rFonts w:ascii="Arial" w:hAnsi="Arial" w:eastAsia="宋体"/>
          <w:b w:val="0"/>
          <w:color w:val="000000"/>
          <w:sz w:val="22"/>
        </w:rPr>
        <w:t>06 实验室检查：围治疗实际检验。</w:t>
      </w:r>
    </w:p>
    <w:p>
      <w:pPr>
        <w:spacing w:after="100"/>
      </w:pPr>
      <w:r>
        <w:rPr>
          <w:rFonts w:ascii="Arial" w:hAnsi="Arial" w:eastAsia="宋体"/>
          <w:b w:val="0"/>
          <w:color w:val="000000"/>
          <w:sz w:val="22"/>
        </w:rPr>
        <w:t>07 超声及影像：局部和节点影像依病种。</w:t>
      </w:r>
    </w:p>
    <w:p>
      <w:pPr>
        <w:spacing w:after="100"/>
      </w:pPr>
      <w:r>
        <w:rPr>
          <w:rFonts w:ascii="Arial" w:hAnsi="Arial" w:eastAsia="宋体"/>
          <w:b w:val="0"/>
          <w:color w:val="000000"/>
          <w:sz w:val="22"/>
        </w:rPr>
        <w:t>08 病理及特殊检查：组织学类型浸润深度切缘及节点分开。</w:t>
      </w:r>
    </w:p>
    <w:p>
      <w:pPr>
        <w:spacing w:after="100"/>
      </w:pPr>
      <w:r>
        <w:rPr>
          <w:rFonts w:ascii="Arial" w:hAnsi="Arial" w:eastAsia="宋体"/>
          <w:b w:val="0"/>
          <w:color w:val="000000"/>
          <w:sz w:val="22"/>
        </w:rPr>
        <w:t>09 诊断标准：外阴采用FIGO2021等实际版本，阴道采用对应正式体系；未核版本则不填具体期别。</w:t>
      </w:r>
    </w:p>
    <w:p>
      <w:pPr>
        <w:spacing w:after="100"/>
      </w:pPr>
      <w:r>
        <w:rPr>
          <w:rFonts w:ascii="Arial" w:hAnsi="Arial" w:eastAsia="宋体"/>
          <w:b w:val="0"/>
          <w:color w:val="000000"/>
          <w:sz w:val="22"/>
        </w:rPr>
        <w:t>10 诊断依据：将本例实际病史、病灶精确部位、尺寸邻近结构及腹股沟节点实查和已有检查逐项对应上述标准；列出支持、反对和缺口，不由标准反造事实。。</w:t>
      </w:r>
    </w:p>
    <w:p>
      <w:pPr>
        <w:spacing w:after="100"/>
      </w:pPr>
      <w:r>
        <w:rPr>
          <w:rFonts w:ascii="Arial" w:hAnsi="Arial" w:eastAsia="宋体"/>
          <w:b w:val="0"/>
          <w:color w:val="000000"/>
          <w:sz w:val="22"/>
        </w:rPr>
        <w:t>11 鉴别诊断：皮肤炎症、癌前、宫颈延伸或其他原发转移。</w:t>
      </w:r>
    </w:p>
    <w:p>
      <w:pPr>
        <w:spacing w:after="100"/>
      </w:pPr>
      <w:r>
        <w:rPr>
          <w:rFonts w:ascii="Arial" w:hAnsi="Arial" w:eastAsia="宋体"/>
          <w:b w:val="0"/>
          <w:color w:val="000000"/>
          <w:sz w:val="22"/>
        </w:rPr>
        <w:t>12 分型分期：以本例已满足条件确定体系及版本；本病关注局部功能、淋巴结、疼痛及共病，不适用者不强设肿瘤分期。。</w:t>
      </w:r>
    </w:p>
    <w:p>
      <w:pPr>
        <w:spacing w:after="100"/>
      </w:pPr>
      <w:r>
        <w:rPr>
          <w:rFonts w:ascii="Arial" w:hAnsi="Arial" w:eastAsia="宋体"/>
          <w:b w:val="0"/>
          <w:color w:val="000000"/>
          <w:sz w:val="22"/>
        </w:rPr>
        <w:t>13 危险评估：局部功能、淋巴结、疼痛及共病。</w:t>
      </w:r>
    </w:p>
    <w:p>
      <w:pPr>
        <w:spacing w:after="100"/>
      </w:pPr>
      <w:r>
        <w:rPr>
          <w:rFonts w:ascii="Arial" w:hAnsi="Arial" w:eastAsia="宋体"/>
          <w:b w:val="0"/>
          <w:color w:val="000000"/>
          <w:sz w:val="22"/>
        </w:rPr>
        <w:t>14 治疗原则：病种和功能目标特异多科策略。</w:t>
      </w:r>
    </w:p>
    <w:p>
      <w:pPr>
        <w:spacing w:after="100"/>
      </w:pPr>
      <w:r>
        <w:rPr>
          <w:rFonts w:ascii="Arial" w:hAnsi="Arial" w:eastAsia="宋体"/>
          <w:b w:val="0"/>
          <w:color w:val="000000"/>
          <w:sz w:val="22"/>
        </w:rPr>
        <w:t>15 手术或分娩决策：切除范围修复与节点处理真实记录，不按部位自动双侧清扫。</w:t>
      </w:r>
    </w:p>
    <w:p>
      <w:pPr>
        <w:spacing w:after="100"/>
      </w:pPr>
      <w:r>
        <w:rPr>
          <w:rFonts w:ascii="Arial" w:hAnsi="Arial" w:eastAsia="宋体"/>
          <w:b w:val="0"/>
          <w:color w:val="000000"/>
          <w:sz w:val="22"/>
        </w:rPr>
        <w:t>16 相关操作：仅纳入本例确有指征的操作并关联05：切除范围修复与节点处理真实记录，不按部位自动双侧清扫。</w:t>
      </w:r>
    </w:p>
    <w:p>
      <w:pPr>
        <w:spacing w:after="100"/>
      </w:pPr>
      <w:r>
        <w:rPr>
          <w:rFonts w:ascii="Arial" w:hAnsi="Arial" w:eastAsia="宋体"/>
          <w:b w:val="0"/>
          <w:color w:val="000000"/>
          <w:sz w:val="22"/>
        </w:rPr>
        <w:t>17 围术期管理：若确有操作，先核适应证、替代方案、准备及实际完成，再复评局部功能、淋巴结、疼痛及共病；无操作则转为观察或治疗前安全评估。。</w:t>
      </w:r>
    </w:p>
    <w:p>
      <w:pPr>
        <w:spacing w:after="100"/>
      </w:pPr>
      <w:r>
        <w:rPr>
          <w:rFonts w:ascii="Arial" w:hAnsi="Arial" w:eastAsia="宋体"/>
          <w:b w:val="0"/>
          <w:color w:val="000000"/>
          <w:sz w:val="22"/>
        </w:rPr>
        <w:t>18 并发症及急变：重点危险：局部功能、淋巴结、疼痛及共病。恶化时立即现场评估并联合06，记录真实异常、处理与反应，不把风险当已发生。。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病例特点：【瘙痒溃疡出血、既往病变HPV和治疗的实际病史；病灶精确部位、尺寸邻近结构及腹股沟节点实查的实查；真实围治疗实际检验及影像】</w:t>
        <w:br/>
        <w:t>诊断及依据：【依外阴采用FIGO2021等实际版本，阴道采用对应正式体系；未核版本则不填具体期别核定本例确定度】</w:t>
        <w:br/>
        <w:t>鉴别诊断：【皮肤炎症、癌前、宫颈延伸或其他原发转移的本例支持反对证据】</w:t>
        <w:br/>
        <w:t>风险及计划：【局部功能、淋巴结、疼痛及共病及真实医师方案】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病灶精确部位、尺寸邻近结构及腹股沟节点实查中的当次完成项目】，辅助检查【新增且当时可用的真实结果】。目前【围绕核部位及侵袭证据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外阴和阴道恶性肿瘤相关的当日症状】。查体【当次专科和全身实查】，辅助检查【真实结果及日期】。主治医师分析【核部位及侵袭证据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外阴和阴道恶性肿瘤相关的当日症状】。查体【当次专科和全身实查】，辅助检查【真实结果及日期】。副主任医师分析【区分原发及延伸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外阴和阴道恶性肿瘤相关的当日症状】。查体【当次专科和全身实查】，辅助检查【真实结果及日期】。主任医师分析【决定功能保护与根治取舍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诊断及指征：【真实依据及切除范围修复与节点处理真实记录，不按部位自动双侧清扫的实际决定】</w:t>
        <w:br/>
        <w:t>风险替代准备：【局部功能、淋巴结、疼痛及共病、真实替代方案和准备状态】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即时状态：【与局部功能、淋巴结、疼痛及共病有关的实查和监测】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局部功能、淋巴结、疼痛及共病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切除范围修复与节点处理真实记录，不按部位自动双侧清扫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住院经过：【与外阴和阴道恶性肿瘤有关的检查及治疗操作实际时间线】</w:t>
        <w:br/>
        <w:t>出院诊断：【证据层级和未决项】</w:t>
        <w:br/>
        <w:t>出院状态：【当次病灶精确部位、尺寸邻近结构及腹股沟节点实查等实际资料】</w:t>
        <w:br/>
        <w:t>后续安排：【创面、尿便及性功能、淋巴水肿和复发的本例具体责任及时点】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本病随访：【创面、尿便及性功能、淋巴水肿和复发中的具体复查时点项目责任】</w:t>
        <w:br/>
        <w:t>返院条件：【局部功能、淋巴结、疼痛及共病对应个体危险症状及就诊方式】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随访管理：创面、尿便及性功能、淋巴水肿和复发。</w:t>
      </w:r>
    </w:p>
    <w:p>
      <w:pPr>
        <w:spacing w:after="100"/>
      </w:pPr>
      <w:r>
        <w:rPr>
          <w:rFonts w:ascii="Arial" w:hAnsi="Arial" w:eastAsia="宋体"/>
          <w:b w:val="0"/>
          <w:color w:val="000000"/>
          <w:sz w:val="22"/>
        </w:rPr>
        <w:t>32 最终质控：本病优先核核部位及侵袭证据、区分原发及延伸及决定功能保护与根治取舍是否均有真实来源；对象、证据、阶段及代码框按10终审。</w:t>
      </w:r>
    </w:p>
    <w:p>
      <w:pPr>
        <w:spacing w:after="100"/>
      </w:pPr>
      <w:r>
        <w:rPr>
          <w:rFonts w:ascii="Arial" w:hAnsi="Arial" w:eastAsia="宋体"/>
          <w:b w:val="0"/>
          <w:color w:val="000000"/>
          <w:sz w:val="22"/>
        </w:rPr>
        <w:t>33 医学来源：R23、R24、R25、R26、R27，正式名称、年份、核验层级和限制见本模块来源章节；本卡为原创新写文书结构，不冒称指南全文，未核条款不自定推荐等级。</w:t>
      </w:r>
    </w:p>
    <w:p>
      <w:bookmarkStart w:id="231" w:name="b231"/>
      <w:pPr>
        <w:pStyle w:val="Heading2"/>
      </w:pPr>
      <w:r>
        <w:t>07 妊娠滋养细胞疾病及滋养细胞肿瘤</w:t>
      </w:r>
      <w:bookmarkEnd w:id="231"/>
    </w:p>
    <w:p>
      <w:pPr>
        <w:spacing w:after="100"/>
      </w:pPr>
      <w:r>
        <w:rPr>
          <w:rFonts w:ascii="Arial" w:hAnsi="Arial" w:eastAsia="宋体"/>
          <w:b w:val="0"/>
          <w:color w:val="000000"/>
          <w:sz w:val="22"/>
        </w:rPr>
        <w:t>01 疾病或情境定义：GTD含葡萄胎等，GTN需相应hCG趋势或病理证据；二者非同义。</w:t>
      </w:r>
    </w:p>
    <w:p>
      <w:pPr>
        <w:spacing w:after="100"/>
      </w:pPr>
      <w:r>
        <w:rPr>
          <w:rFonts w:ascii="Arial" w:hAnsi="Arial" w:eastAsia="宋体"/>
          <w:b w:val="0"/>
          <w:color w:val="000000"/>
          <w:sz w:val="22"/>
        </w:rPr>
        <w:t>02 病因和机制：良恶性和原发转移有不同生物学；组织、解剖范围及治疗暴露必须分别分析。。</w:t>
      </w:r>
    </w:p>
    <w:p>
      <w:pPr>
        <w:spacing w:after="100"/>
      </w:pPr>
      <w:r>
        <w:rPr>
          <w:rFonts w:ascii="Arial" w:hAnsi="Arial" w:eastAsia="宋体"/>
          <w:b w:val="0"/>
          <w:color w:val="000000"/>
          <w:sz w:val="22"/>
        </w:rPr>
        <w:t>03 临床表现及情境识别：不规则出血、hCG异常或转移相关症状；不同亚型hCG表达和病程可不同。以上为知识范围，当前患者实际表现逐项取证。</w:t>
      </w:r>
    </w:p>
    <w:p>
      <w:pPr>
        <w:spacing w:after="100"/>
      </w:pPr>
      <w:r>
        <w:rPr>
          <w:rFonts w:ascii="Arial" w:hAnsi="Arial" w:eastAsia="宋体"/>
          <w:b w:val="0"/>
          <w:color w:val="000000"/>
          <w:sz w:val="22"/>
        </w:rPr>
        <w:t>04 病史采集：前次妊娠结局时间、出血、hCG全序列和已治疗。</w:t>
      </w:r>
    </w:p>
    <w:p>
      <w:pPr>
        <w:spacing w:after="100"/>
      </w:pPr>
      <w:r>
        <w:rPr>
          <w:rFonts w:ascii="Arial" w:hAnsi="Arial" w:eastAsia="宋体"/>
          <w:b w:val="0"/>
          <w:color w:val="000000"/>
          <w:sz w:val="22"/>
        </w:rPr>
        <w:t>05 专科检查：循环、子宫和转移症状相关实查。</w:t>
      </w:r>
    </w:p>
    <w:p>
      <w:pPr>
        <w:spacing w:after="100"/>
      </w:pPr>
      <w:r>
        <w:rPr>
          <w:rFonts w:ascii="Arial" w:hAnsi="Arial" w:eastAsia="宋体"/>
          <w:b w:val="0"/>
          <w:color w:val="000000"/>
          <w:sz w:val="22"/>
        </w:rPr>
        <w:t>06 实验室检查：定量hCG同实验室方法单位、肝肾血常规及甲功按指征。</w:t>
      </w:r>
    </w:p>
    <w:p>
      <w:pPr>
        <w:spacing w:after="100"/>
      </w:pPr>
      <w:r>
        <w:rPr>
          <w:rFonts w:ascii="Arial" w:hAnsi="Arial" w:eastAsia="宋体"/>
          <w:b w:val="0"/>
          <w:color w:val="000000"/>
          <w:sz w:val="22"/>
        </w:rPr>
        <w:t>07 超声及影像：子宫病灶和胸腹脑等按风险所需影像。</w:t>
      </w:r>
    </w:p>
    <w:p>
      <w:pPr>
        <w:spacing w:after="100"/>
      </w:pPr>
      <w:r>
        <w:rPr>
          <w:rFonts w:ascii="Arial" w:hAnsi="Arial" w:eastAsia="宋体"/>
          <w:b w:val="0"/>
          <w:color w:val="000000"/>
          <w:sz w:val="22"/>
        </w:rPr>
        <w:t>08 病理及特殊检查：病理形态p57等辅助和分子如实际，PSTT ETT另路径。</w:t>
      </w:r>
    </w:p>
    <w:p>
      <w:pPr>
        <w:spacing w:after="100"/>
      </w:pPr>
      <w:r>
        <w:rPr>
          <w:rFonts w:ascii="Arial" w:hAnsi="Arial" w:eastAsia="宋体"/>
          <w:b w:val="0"/>
          <w:color w:val="000000"/>
          <w:sz w:val="22"/>
        </w:rPr>
        <w:t>09 诊断标准：GTN按正式hCG平台上升等规则或相应病理；分期与WHO改良风险评分逐项，缺值不算。</w:t>
      </w:r>
    </w:p>
    <w:p>
      <w:pPr>
        <w:spacing w:after="100"/>
      </w:pPr>
      <w:r>
        <w:rPr>
          <w:rFonts w:ascii="Arial" w:hAnsi="Arial" w:eastAsia="宋体"/>
          <w:b w:val="0"/>
          <w:color w:val="000000"/>
          <w:sz w:val="22"/>
        </w:rPr>
        <w:t>10 诊断依据：将本例实际病史、循环、子宫和转移症状相关实查和已有检查逐项对应上述标准；列出支持、反对和缺口，不由标准反造事实。。</w:t>
      </w:r>
    </w:p>
    <w:p>
      <w:pPr>
        <w:spacing w:after="100"/>
      </w:pPr>
      <w:r>
        <w:rPr>
          <w:rFonts w:ascii="Arial" w:hAnsi="Arial" w:eastAsia="宋体"/>
          <w:b w:val="0"/>
          <w:color w:val="000000"/>
          <w:sz w:val="22"/>
        </w:rPr>
        <w:t>11 鉴别诊断：正常新妊娠、妊娠残留、检测干扰及非妊娠来源hCG。</w:t>
      </w:r>
    </w:p>
    <w:p>
      <w:pPr>
        <w:spacing w:after="100"/>
      </w:pPr>
      <w:r>
        <w:rPr>
          <w:rFonts w:ascii="Arial" w:hAnsi="Arial" w:eastAsia="宋体"/>
          <w:b w:val="0"/>
          <w:color w:val="000000"/>
          <w:sz w:val="22"/>
        </w:rPr>
        <w:t>12 分型分期：以本例已满足条件确定体系及版本；本病关注FIGO2000解剖分期和风险分值独立；PSTT ETT不简单套所有评分，不适用者不强设肿瘤分期。。</w:t>
      </w:r>
    </w:p>
    <w:p>
      <w:pPr>
        <w:spacing w:after="100"/>
      </w:pPr>
      <w:r>
        <w:rPr>
          <w:rFonts w:ascii="Arial" w:hAnsi="Arial" w:eastAsia="宋体"/>
          <w:b w:val="0"/>
          <w:color w:val="000000"/>
          <w:sz w:val="22"/>
        </w:rPr>
        <w:t>13 危险评估：FIGO2000解剖分期和风险分值独立；PSTT ETT不简单套所有评分。</w:t>
      </w:r>
    </w:p>
    <w:p>
      <w:pPr>
        <w:spacing w:after="100"/>
      </w:pPr>
      <w:r>
        <w:rPr>
          <w:rFonts w:ascii="Arial" w:hAnsi="Arial" w:eastAsia="宋体"/>
          <w:b w:val="0"/>
          <w:color w:val="000000"/>
          <w:sz w:val="22"/>
        </w:rPr>
        <w:t>14 治疗原则：专科治疗及hCG监测，不凭一次阳性自动化疗。</w:t>
      </w:r>
    </w:p>
    <w:p>
      <w:pPr>
        <w:spacing w:after="100"/>
      </w:pPr>
      <w:r>
        <w:rPr>
          <w:rFonts w:ascii="Arial" w:hAnsi="Arial" w:eastAsia="宋体"/>
          <w:b w:val="0"/>
          <w:color w:val="000000"/>
          <w:sz w:val="22"/>
        </w:rPr>
        <w:t>15 手术或分娩决策：清宫与肿瘤手术实际事件区分；化疗药物周期剂量只取真实医嘱。</w:t>
      </w:r>
    </w:p>
    <w:p>
      <w:pPr>
        <w:spacing w:after="100"/>
      </w:pPr>
      <w:r>
        <w:rPr>
          <w:rFonts w:ascii="Arial" w:hAnsi="Arial" w:eastAsia="宋体"/>
          <w:b w:val="0"/>
          <w:color w:val="000000"/>
          <w:sz w:val="22"/>
        </w:rPr>
        <w:t>16 相关操作：仅纳入本例确有指征的操作并关联05：清宫与肿瘤手术实际事件区分；化疗药物周期剂量只取真实医嘱。</w:t>
      </w:r>
    </w:p>
    <w:p>
      <w:pPr>
        <w:spacing w:after="100"/>
      </w:pPr>
      <w:r>
        <w:rPr>
          <w:rFonts w:ascii="Arial" w:hAnsi="Arial" w:eastAsia="宋体"/>
          <w:b w:val="0"/>
          <w:color w:val="000000"/>
          <w:sz w:val="22"/>
        </w:rPr>
        <w:t>17 围术期管理：若确有操作，先核适应证、替代方案、准备及实际完成，再复评FIGO2000解剖分期和风险分值独立；PSTT ETT不简单套所有评分；无操作则转为观察或治疗前安全评估。。</w:t>
      </w:r>
    </w:p>
    <w:p>
      <w:pPr>
        <w:spacing w:after="100"/>
      </w:pPr>
      <w:r>
        <w:rPr>
          <w:rFonts w:ascii="Arial" w:hAnsi="Arial" w:eastAsia="宋体"/>
          <w:b w:val="0"/>
          <w:color w:val="000000"/>
          <w:sz w:val="22"/>
        </w:rPr>
        <w:t>18 并发症及急变：重点危险：FIGO2000解剖分期和风险分值独立；PSTT ETT不简单套所有评分。恶化时立即现场评估并联合06，记录真实异常、处理与反应，不把风险当已发生。。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病例特点：【前次妊娠结局时间、出血、hCG全序列和已治疗的实际病史；循环、子宫和转移症状相关实查的实查；真实定量hCG同实验室方法单位、肝肾血常规及甲功按指征及影像】</w:t>
        <w:br/>
        <w:t>诊断及依据：【依GTN按正式hCG平台上升等规则或相应病理；分期与WHO改良风险评分逐项，缺值不算核定本例确定度】</w:t>
        <w:br/>
        <w:t>鉴别诊断：【正常新妊娠、妊娠残留、检测干扰及非妊娠来源hCG的本例支持反对证据】</w:t>
        <w:br/>
        <w:t>风险及计划：【FIGO2000解剖分期和风险分值独立；PSTT ETT不简单套所有评分及真实医师方案】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循环、子宫和转移症状相关实查中的当次完成项目】，辅助检查【新增且当时可用的真实结果】。目前【围绕核hCG时间序列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妊娠滋养细胞疾病及滋养细胞肿瘤相关的当日症状】。查体【当次专科和全身实查】，辅助检查【真实结果及日期】。主治医师分析【核hCG时间序列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妊娠滋养细胞疾病及滋养细胞肿瘤相关的当日症状】。查体【当次专科和全身实查】，辅助检查【真实结果及日期】。副主任医师分析【复核GTN条件和评分缺口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妊娠滋养细胞疾病及滋养细胞肿瘤相关的当日症状】。查体【当次专科和全身实查】，辅助检查【真实结果及日期】。主任医师分析【决定高危或特殊亚型综合治疗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诊断及指征：【真实依据及清宫与肿瘤手术实际事件区分；化疗药物周期剂量只取真实医嘱的实际决定】</w:t>
        <w:br/>
        <w:t>风险替代准备：【FIGO2000解剖分期和风险分值独立；PSTT ETT不简单套所有评分、真实替代方案和准备状态】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即时状态：【与FIGO2000解剖分期和风险分值独立；PSTT ETT不简单套所有评分有关的实查和监测】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于【真实发生或发现时间】出现【异常】，现场【实际检查】，重点评估【FIGO2000解剖分期和风险分值独立；PSTT ETT不简单套所有评分相关证据】，考虑【病因确定度及鉴别】，已于【时点】实施【真实措施】，后【实际反应】，后续【救治升级和复查真实状态】。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清宫与肿瘤手术实际事件区分；化疗药物周期剂量只取真实医嘱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住院经过：【与妊娠滋养细胞疾病及滋养细胞肿瘤有关的检查及治疗操作实际时间线】</w:t>
        <w:br/>
        <w:t>出院诊断：【证据层级和未决项】</w:t>
        <w:br/>
        <w:t>出院状态：【当次循环、子宫和转移症状相关实查等实际资料】</w:t>
        <w:br/>
        <w:t>后续安排：【hCG追踪避孕生育及复发警戒期限由正式病种方案明确的本例具体责任及时点】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用药：【确认完整通用名剂型剂量途径频次疗程和停变】</w:t>
        <w:br/>
        <w:t>本病随访：【hCG追踪避孕生育及复发警戒期限由正式病种方案明确中的具体复查时点项目责任】</w:t>
        <w:br/>
        <w:t>返院条件：【FIGO2000解剖分期和风险分值独立；PSTT ETT不简单套所有评分对应个体危险症状及就诊方式】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随访管理：hCG追踪避孕生育及复发警戒期限由正式病种方案明确。</w:t>
      </w:r>
    </w:p>
    <w:p>
      <w:pPr>
        <w:spacing w:after="100"/>
      </w:pPr>
      <w:r>
        <w:rPr>
          <w:rFonts w:ascii="Arial" w:hAnsi="Arial" w:eastAsia="宋体"/>
          <w:b w:val="0"/>
          <w:color w:val="000000"/>
          <w:sz w:val="22"/>
        </w:rPr>
        <w:t>32 最终质控：本病优先核核hCG时间序列、复核GTN条件和评分缺口及决定高危或特殊亚型综合治疗是否均有真实来源；对象、证据、阶段及代码框按10终审。</w:t>
      </w:r>
    </w:p>
    <w:p>
      <w:pPr>
        <w:spacing w:after="100"/>
      </w:pPr>
      <w:r>
        <w:rPr>
          <w:rFonts w:ascii="Arial" w:hAnsi="Arial" w:eastAsia="宋体"/>
          <w:b w:val="0"/>
          <w:color w:val="000000"/>
          <w:sz w:val="22"/>
        </w:rPr>
        <w:t>33 医学来源：R23、R24、R25、R26、R27，正式名称、年份、核验层级和限制见本模块来源章节；本卡为原创新写文书结构，不冒称指南全文，未核条款不自定推荐等级。</w:t>
      </w:r>
    </w:p>
    <w:p>
      <w:bookmarkStart w:id="268" w:name="b268"/>
      <w:pPr>
        <w:pStyle w:val="Heading2"/>
      </w:pPr>
      <w:r>
        <w:t>08 妇科肿瘤手术病理分期与治疗衔接</w:t>
      </w:r>
      <w:bookmarkEnd w:id="268"/>
    </w:p>
    <w:p>
      <w:pPr>
        <w:spacing w:after="100"/>
      </w:pPr>
      <w:r>
        <w:rPr>
          <w:rFonts w:ascii="Arial" w:hAnsi="Arial" w:eastAsia="宋体"/>
          <w:b w:val="0"/>
          <w:color w:val="000000"/>
          <w:sz w:val="22"/>
        </w:rPr>
        <w:t>01 疾病或情境定义：手术完成、病理回报和治疗决策是相继但独立的事件。</w:t>
      </w:r>
    </w:p>
    <w:p>
      <w:pPr>
        <w:spacing w:after="100"/>
      </w:pPr>
      <w:r>
        <w:rPr>
          <w:rFonts w:ascii="Arial" w:hAnsi="Arial" w:eastAsia="宋体"/>
          <w:b w:val="0"/>
          <w:color w:val="000000"/>
          <w:sz w:val="22"/>
        </w:rPr>
        <w:t>02 病因和机制：良恶性和原发转移有不同生物学；组织、解剖范围及治疗暴露必须分别分析。。</w:t>
      </w:r>
    </w:p>
    <w:p>
      <w:pPr>
        <w:spacing w:after="100"/>
      </w:pPr>
      <w:r>
        <w:rPr>
          <w:rFonts w:ascii="Arial" w:hAnsi="Arial" w:eastAsia="宋体"/>
          <w:b w:val="0"/>
          <w:color w:val="000000"/>
          <w:sz w:val="22"/>
        </w:rPr>
        <w:t>03 临床表现及情境识别：术后恢复、治疗反应、毒性或复发相关症状，症状与影像病理需按时点核对。以上为知识范围，当前患者实际表现逐项取证。</w:t>
      </w:r>
    </w:p>
    <w:p>
      <w:pPr>
        <w:spacing w:after="100"/>
      </w:pPr>
      <w:r>
        <w:rPr>
          <w:rFonts w:ascii="Arial" w:hAnsi="Arial" w:eastAsia="宋体"/>
          <w:b w:val="0"/>
          <w:color w:val="000000"/>
          <w:sz w:val="22"/>
        </w:rPr>
        <w:t>04 病史采集：原病理、术前临床分期、既往治疗及生育目标。</w:t>
      </w:r>
    </w:p>
    <w:p>
      <w:pPr>
        <w:spacing w:after="100"/>
      </w:pPr>
      <w:r>
        <w:rPr>
          <w:rFonts w:ascii="Arial" w:hAnsi="Arial" w:eastAsia="宋体"/>
          <w:b w:val="0"/>
          <w:color w:val="000000"/>
          <w:sz w:val="22"/>
        </w:rPr>
        <w:t>05 专科检查：术后恢复和可能残余病灶实查。</w:t>
      </w:r>
    </w:p>
    <w:p>
      <w:pPr>
        <w:spacing w:after="100"/>
      </w:pPr>
      <w:r>
        <w:rPr>
          <w:rFonts w:ascii="Arial" w:hAnsi="Arial" w:eastAsia="宋体"/>
          <w:b w:val="0"/>
          <w:color w:val="000000"/>
          <w:sz w:val="22"/>
        </w:rPr>
        <w:t>06 实验室检查：器官血液营养等耐受资料。</w:t>
      </w:r>
    </w:p>
    <w:p>
      <w:pPr>
        <w:spacing w:after="100"/>
      </w:pPr>
      <w:r>
        <w:rPr>
          <w:rFonts w:ascii="Arial" w:hAnsi="Arial" w:eastAsia="宋体"/>
          <w:b w:val="0"/>
          <w:color w:val="000000"/>
          <w:sz w:val="22"/>
        </w:rPr>
        <w:t>07 超声及影像：术前术后可比影像及转移证据。</w:t>
      </w:r>
    </w:p>
    <w:p>
      <w:pPr>
        <w:spacing w:after="100"/>
      </w:pPr>
      <w:r>
        <w:rPr>
          <w:rFonts w:ascii="Arial" w:hAnsi="Arial" w:eastAsia="宋体"/>
          <w:b w:val="0"/>
          <w:color w:val="000000"/>
          <w:sz w:val="22"/>
        </w:rPr>
        <w:t>08 病理及特殊检查：每个标本部位侧别节点站位、切缘及正式结果。</w:t>
      </w:r>
    </w:p>
    <w:p>
      <w:pPr>
        <w:spacing w:after="100"/>
      </w:pPr>
      <w:r>
        <w:rPr>
          <w:rFonts w:ascii="Arial" w:hAnsi="Arial" w:eastAsia="宋体"/>
          <w:b w:val="0"/>
          <w:color w:val="000000"/>
          <w:sz w:val="22"/>
        </w:rPr>
        <w:t>09 诊断标准：临床分期与病理分期和诊断版本各自保存；未来报告不倒填过去。</w:t>
      </w:r>
    </w:p>
    <w:p>
      <w:pPr>
        <w:spacing w:after="100"/>
      </w:pPr>
      <w:r>
        <w:rPr>
          <w:rFonts w:ascii="Arial" w:hAnsi="Arial" w:eastAsia="宋体"/>
          <w:b w:val="0"/>
          <w:color w:val="000000"/>
          <w:sz w:val="22"/>
        </w:rPr>
        <w:t>10 诊断依据：将本例实际病史、术后恢复和可能残余病灶实查和已有检查逐项对应上述标准；列出支持、反对和缺口，不由标准反造事实。。</w:t>
      </w:r>
    </w:p>
    <w:p>
      <w:pPr>
        <w:spacing w:after="100"/>
      </w:pPr>
      <w:r>
        <w:rPr>
          <w:rFonts w:ascii="Arial" w:hAnsi="Arial" w:eastAsia="宋体"/>
          <w:b w:val="0"/>
          <w:color w:val="000000"/>
          <w:sz w:val="22"/>
        </w:rPr>
        <w:t>11 鉴别诊断：原发来源、转移或第二原发、冰冻石蜡不一致。</w:t>
      </w:r>
    </w:p>
    <w:p>
      <w:pPr>
        <w:spacing w:after="100"/>
      </w:pPr>
      <w:r>
        <w:rPr>
          <w:rFonts w:ascii="Arial" w:hAnsi="Arial" w:eastAsia="宋体"/>
          <w:b w:val="0"/>
          <w:color w:val="000000"/>
          <w:sz w:val="22"/>
        </w:rPr>
        <w:t>12 分型分期：以本例已满足条件确定体系及版本；本病关注完整性、残余、治疗耐受与并发症，不适用者不强设肿瘤分期。。</w:t>
      </w:r>
    </w:p>
    <w:p>
      <w:pPr>
        <w:spacing w:after="100"/>
      </w:pPr>
      <w:r>
        <w:rPr>
          <w:rFonts w:ascii="Arial" w:hAnsi="Arial" w:eastAsia="宋体"/>
          <w:b w:val="0"/>
          <w:color w:val="000000"/>
          <w:sz w:val="22"/>
        </w:rPr>
        <w:t>13 危险评估：完整性、残余、治疗耐受与并发症。</w:t>
      </w:r>
    </w:p>
    <w:p>
      <w:pPr>
        <w:spacing w:after="100"/>
      </w:pPr>
      <w:r>
        <w:rPr>
          <w:rFonts w:ascii="Arial" w:hAnsi="Arial" w:eastAsia="宋体"/>
          <w:b w:val="0"/>
          <w:color w:val="000000"/>
          <w:sz w:val="22"/>
        </w:rPr>
        <w:t>14 治疗原则：多学科意见、患者选择、已开与已执行分别记。</w:t>
      </w:r>
    </w:p>
    <w:p>
      <w:pPr>
        <w:spacing w:after="100"/>
      </w:pPr>
      <w:r>
        <w:rPr>
          <w:rFonts w:ascii="Arial" w:hAnsi="Arial" w:eastAsia="宋体"/>
          <w:b w:val="0"/>
          <w:color w:val="000000"/>
          <w:sz w:val="22"/>
        </w:rPr>
        <w:t>15 手术或分娩决策：重大调整留真实依据及意见归属，不能从“拟化疗”生成周期已完成。</w:t>
      </w:r>
    </w:p>
    <w:p>
      <w:pPr>
        <w:spacing w:after="100"/>
      </w:pPr>
      <w:r>
        <w:rPr>
          <w:rFonts w:ascii="Arial" w:hAnsi="Arial" w:eastAsia="宋体"/>
          <w:b w:val="0"/>
          <w:color w:val="000000"/>
          <w:sz w:val="22"/>
        </w:rPr>
        <w:t>16 相关操作：仅纳入本例确有指征的操作并关联05：重大调整留真实依据及意见归属，不能从“拟化疗”生成周期已完成。</w:t>
      </w:r>
    </w:p>
    <w:p>
      <w:pPr>
        <w:spacing w:after="100"/>
      </w:pPr>
      <w:r>
        <w:rPr>
          <w:rFonts w:ascii="Arial" w:hAnsi="Arial" w:eastAsia="宋体"/>
          <w:b w:val="0"/>
          <w:color w:val="000000"/>
          <w:sz w:val="22"/>
        </w:rPr>
        <w:t>17 围术期管理：若确有操作，先核适应证、替代方案、准备及实际完成，再复评完整性、残余、治疗耐受与并发症；无操作则转为观察或治疗前安全评估。。</w:t>
      </w:r>
    </w:p>
    <w:p>
      <w:pPr>
        <w:spacing w:after="100"/>
      </w:pPr>
      <w:r>
        <w:rPr>
          <w:rFonts w:ascii="Arial" w:hAnsi="Arial" w:eastAsia="宋体"/>
          <w:b w:val="0"/>
          <w:color w:val="000000"/>
          <w:sz w:val="22"/>
        </w:rPr>
        <w:t>18 并发症及急变：重点危险：完整性、残余、治疗耐受与并发症。恶化时立即现场评估并联合06，记录真实异常、处理与反应，不把风险当已发生。。</w:t>
      </w:r>
    </w:p>
    <w:p>
      <w:pPr>
        <w:keepNext/>
        <w:spacing w:after="100"/>
      </w:pPr>
      <w:r>
        <w:rPr>
          <w:rFonts w:ascii="Arial" w:hAnsi="Arial" w:eastAsia="宋体"/>
          <w:b w:val="0"/>
          <w:color w:val="000000"/>
          <w:sz w:val="22"/>
        </w:rPr>
        <w:t>【日期时间】 19 首次病程记录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病例特点：【原病理、术前临床分期、既往治疗及生育目标的实际病史；术后恢复和可能残余病灶实查的实查；真实器官血液营养等耐受资料及影像】</w:t>
        <w:br/>
        <w:t>诊断及依据：【依临床分期与病理分期和诊断版本各自保存；未来报告不倒填过去核定本例确定度】</w:t>
        <w:br/>
        <w:t>鉴别诊断：【原发来源、转移或第二原发、冰冻石蜡不一致的本例支持反对证据】</w:t>
        <w:br/>
        <w:t>风险及计划：【完整性、残余、治疗耐受与并发症及真实医师方案】</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本病当日症状及变化】。查体【术后恢复和可能残余病灶实查中的当次完成项目】，辅助检查【新增且当时可用的真实结果】。目前【围绕核恢复与标本结果的病情判断】，已实施【真实治疗及反应】，后续【本病具体监测及真实安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21 【实际姓名】主治医师查房记录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治医师查房，患者【与妇科肿瘤手术病理分期与治疗衔接相关的当日症状】。查体【当次专科和全身实查】，辅助检查【真实结果及日期】。主治医师分析【核恢复与标本结果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22 【实际姓名】副主任医师查房记录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副主任医师查房，患者【与妇科肿瘤手术病理分期与治疗衔接相关的当日症状】。查体【当次专科和全身实查】，辅助检查【真实结果及日期】。副主任医师分析【复核分期证据和治疗条件的真实证据、意见和决定】。目前【实际治疗或操作阶段】，后续【该医师确认的具体计划】。</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23 【实际姓名】主任医师查房记录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实际姓名】主任医师查房，患者【与妇科肿瘤手术病理分期与治疗衔接相关的当日症状】。查体【当次专科和全身实查】，辅助检查【真实结果及日期】。主任医师分析【整合复发风险与后续总体策略的真实证据、意见和决定】。目前【实际治疗或操作阶段】，后续【该医师确认的具体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24 操作前评估或术前小结</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评估目的：【本例拟操作】</w:t>
        <w:br/>
        <w:t>诊断及指征：【真实依据及重大调整留真实依据及意见归属，不能从“拟化疗”生成周期已完成的实际决定】</w:t>
        <w:br/>
        <w:t>风险替代准备：【完整性、残余、治疗耐受与并发症、真实替代方案和准备状态】</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keepNext/>
        <w:spacing w:after="100"/>
      </w:pPr>
      <w:r>
        <w:rPr>
          <w:rFonts w:ascii="Arial" w:hAnsi="Arial" w:eastAsia="宋体"/>
          <w:b w:val="0"/>
          <w:color w:val="000000"/>
          <w:sz w:val="22"/>
        </w:rPr>
        <w:t>【日期时间】 25 术后首次病程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本次操作：【实际procedure_id术式侧别范围时间】</w:t>
        <w:br/>
        <w:t>所见及处置：【真实原始记录】</w:t>
        <w:br/>
        <w:t>即时状态：【与完整性、残余、治疗耐受与并发症有关的实查和监测】</w:t>
        <w:br/>
        <w:t>后续计划：【医师已确认观察与治疗】</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本模板仅在相应操作或本次分娩已实际发生、目标阶段匹配且资料足够时使用；不适用时整项省略。</w:t>
      </w:r>
    </w:p>
    <w:p>
      <w:pPr>
        <w:spacing w:after="100"/>
      </w:pPr>
      <w:r>
        <w:rPr>
          <w:rFonts w:ascii="Arial" w:hAnsi="Arial" w:eastAsia="宋体"/>
          <w:b w:val="0"/>
          <w:color w:val="000000"/>
          <w:sz w:val="22"/>
        </w:rPr>
        <w:t>26 产后病程适用性：本卡非产后妇科情境不生成产后病程。只有患者真实处于本次分娩后的产褥阶段时，联合104和09记录该病对母体恢复的影响，保留独立delivery_id及当日实查。</w:t>
      </w:r>
    </w:p>
    <w:p>
      <w:pPr>
        <w:keepNext/>
        <w:spacing w:after="100"/>
      </w:pPr>
      <w:r>
        <w:rPr>
          <w:rFonts w:ascii="Arial" w:hAnsi="Arial" w:eastAsia="宋体"/>
          <w:b w:val="0"/>
          <w:color w:val="000000"/>
          <w:sz w:val="22"/>
        </w:rPr>
        <w:t>【日期时间】 27 异常病情记录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于【真实发生或发现时间】出现【异常】，现场【实际检查】，重点评估【完整性、残余、治疗耐受与并发症相关证据】，考虑【病因确定度及鉴别】，已于【时点】实施【真实措施】，后【实际反应】，后续【救治升级和复查真实状态】。</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28 诊断修正记录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原诊断为【原确定度及依据】，于【新证据可用时间】获【真实检查或操作证据】，结合【当次资料】，经【实际医师】评估修正为【新诊断及版本】。对【重大调整留真实依据及意见归属，不能从“拟化疗”生成周期已完成相关策略】的实际影响为【真实决定】，原记录按院内留痕保留。</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29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入院情况及诊断：【本例真实症状和依据】</w:t>
        <w:br/>
        <w:t>住院经过：【与妇科肿瘤手术病理分期与治疗衔接有关的检查及治疗操作实际时间线】</w:t>
        <w:br/>
        <w:t>出院诊断：【证据层级和未决项】</w:t>
        <w:br/>
        <w:t>出院状态：【当次术后恢复和可能残余病灶实查等实际资料】</w:t>
        <w:br/>
        <w:t>后续安排：【未回病理分子和转诊接收有责任和时点，长期随访计划的本例具体责任及时点】</w:t>
      </w:r>
    </w:p>
    <w:p>
      <w:pPr>
        <w:spacing w:after="140"/>
      </w:pPr>
      <w:r>
        <w:rPr>
          <w:rFonts w:ascii="Arial" w:hAnsi="Arial" w:eastAsia="宋体"/>
          <w:b w:val="0"/>
          <w:color w:val="000000"/>
          <w:sz w:val="22"/>
        </w:rPr>
        <w:t>```</w:t>
      </w:r>
    </w:p>
    <w:p>
      <w:pPr>
        <w:keepNext/>
        <w:spacing w:after="100"/>
      </w:pPr>
      <w:r>
        <w:rPr>
          <w:rFonts w:ascii="Arial" w:hAnsi="Arial" w:eastAsia="宋体"/>
          <w:b w:val="0"/>
          <w:color w:val="000000"/>
          <w:sz w:val="22"/>
        </w:rPr>
        <w:t>【日期时间】 30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用药：【确认完整通用名剂型剂量途径频次疗程和停变】</w:t>
        <w:br/>
        <w:t>本病随访：【未回病理分子和转诊接收有责任和时点，长期随访计划中的具体复查时点项目责任】</w:t>
        <w:br/>
        <w:t>返院条件：【完整性、残余、治疗耐受与并发症对应个体危险症状及就诊方式】</w:t>
      </w:r>
    </w:p>
    <w:p>
      <w:pPr>
        <w:spacing w:after="140"/>
      </w:pPr>
      <w:r>
        <w:rPr>
          <w:rFonts w:ascii="Arial" w:hAnsi="Arial" w:eastAsia="宋体"/>
          <w:b w:val="0"/>
          <w:color w:val="000000"/>
          <w:sz w:val="22"/>
        </w:rPr>
        <w:t>```</w:t>
      </w:r>
    </w:p>
    <w:p>
      <w:pPr>
        <w:spacing w:after="100"/>
      </w:pPr>
      <w:r>
        <w:rPr>
          <w:rFonts w:ascii="Arial" w:hAnsi="Arial" w:eastAsia="宋体"/>
          <w:b w:val="0"/>
          <w:color w:val="000000"/>
          <w:sz w:val="22"/>
        </w:rPr>
        <w:t>31 随访管理：未回病理分子和转诊接收有责任和时点，长期随访计划。</w:t>
      </w:r>
    </w:p>
    <w:p>
      <w:pPr>
        <w:spacing w:after="100"/>
      </w:pPr>
      <w:r>
        <w:rPr>
          <w:rFonts w:ascii="Arial" w:hAnsi="Arial" w:eastAsia="宋体"/>
          <w:b w:val="0"/>
          <w:color w:val="000000"/>
          <w:sz w:val="22"/>
        </w:rPr>
        <w:t>32 最终质控：本病优先核核恢复与标本结果、复核分期证据和治疗条件及整合复发风险与后续总体策略是否均有真实来源；对象、证据、阶段及代码框按10终审。</w:t>
      </w:r>
    </w:p>
    <w:p>
      <w:pPr>
        <w:spacing w:after="100"/>
      </w:pPr>
      <w:r>
        <w:rPr>
          <w:rFonts w:ascii="Arial" w:hAnsi="Arial" w:eastAsia="宋体"/>
          <w:b w:val="0"/>
          <w:color w:val="000000"/>
          <w:sz w:val="22"/>
        </w:rPr>
        <w:t>33 医学来源：R23、R24、R25、R26、R27，正式名称、年份、核验层级和限制见本模块来源章节；本卡为原创新写文书结构，不冒称指南全文，未核条款不自定推荐等级。</w:t>
      </w:r>
    </w:p>
    <w:p>
      <w:bookmarkStart w:id="305" w:name="b305"/>
      <w:pPr>
        <w:pStyle w:val="Heading1"/>
      </w:pPr>
      <w:r>
        <w:t>细分疾病与临床情境覆盖及差异</w:t>
      </w:r>
      <w:bookmarkEnd w:id="305"/>
    </w:p>
    <w:p>
      <w:pPr>
        <w:spacing w:after="100"/>
      </w:pPr>
      <w:r>
        <w:rPr>
          <w:rFonts w:ascii="Arial" w:hAnsi="Arial" w:eastAsia="宋体"/>
          <w:b w:val="0"/>
          <w:color w:val="000000"/>
          <w:sz w:val="22"/>
        </w:rPr>
        <w:t>下表逐项对应建设要求。调用对应核心卡的33项内容后，必须叠加本行专属条件；不同亚情境不能只更换病名。</w:t>
      </w:r>
    </w:p>
    <w:tbl>
      <w:tblPr>
        <w:tblW w:type="auto" w:w="0"/>
        <w:tblLayout w:type="fixed"/>
        <w:tblLook w:firstColumn="1" w:firstRow="1" w:lastColumn="0" w:lastRow="0" w:noHBand="0" w:noVBand="1" w:val="04A0"/>
      </w:tblPr>
      <w:tblGrid>
        <w:gridCol w:w="2088"/>
        <w:gridCol w:w="2592"/>
        <w:gridCol w:w="5256"/>
      </w:tblGrid>
      <w:tr>
        <w:trPr>
          <w:tblHeader/>
        </w:trPr>
        <w:tc>
          <w:tcPr>
            <w:tcW w:type="dxa" w:w="2088"/>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临床情境</w:t>
            </w:r>
          </w:p>
        </w:tc>
        <w:tc>
          <w:tcPr>
            <w:tcW w:type="dxa" w:w="2592"/>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核心卡</w:t>
            </w:r>
          </w:p>
        </w:tc>
        <w:tc>
          <w:tcPr>
            <w:tcW w:type="dxa" w:w="5256"/>
            <w:vAlign w:val="center"/>
            <w:shd w:fill="E8EDF2"/>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color w:val="000000"/>
                <w:sz w:val="21"/>
              </w:rPr>
              <w:t>专属条件及质控</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宫颈HPV相关异常</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宫颈HPV细胞学异常及上皮内病变</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感染筛查阳性不等癌，结合分型和既往</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宫颈细胞学异常</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宫颈HPV细胞学异常及上皮内病变</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TBS细胞学与组织学分别保存</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宫颈上皮内病变</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宫颈HPV细胞学异常及上皮内病变</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LSIL HSIL及腺上皮病变按实际病理，不猜CIN级别</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宫颈癌</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02 宫颈癌</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组织确诊及FIGO2018版本和局部节点依据</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宫颈癌筛查及诊断</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宫颈HPV细胞学异常及上皮内病变</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一般风险筛查与病变随访路径不同</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宫颈活检及锥切</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01 宫颈HPV细胞学异常及上皮内病变</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标本方向深度切缘和宫颈管结果分别</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子宫内膜癌</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子宫内膜癌与EIN</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FIGO2023与分子组织学资料不能只用浸润深度</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子宫内膜癌前病变</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03 子宫内膜癌与EIN</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EIN与浸润癌病理证据，保生育严格专科决策</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子宫肉瘤</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04 子宫肉瘤及恶性潜能未定肿瘤</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组织亚型决定适用分期，不能套全部内膜癌规则</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卵巢恶性肿瘤</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卵巢输卵管及原发腹膜恶性肿瘤</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包膜破裂时点、冲洗液及转移按FIGO2014核</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输卵管及原发性腹膜恶性肿瘤</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05 卵巢输卵管及原发腹膜恶性肿瘤</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原发部位与卵巢同体系关系，病理来源不可猜</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外阴恶性肿瘤</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外阴和阴道恶性肿瘤</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外阴FIGO2021及节点依据，与阴道体系独立</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阴道恶性肿瘤</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06 外阴和阴道恶性肿瘤</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先排宫颈延伸等其他原发，核正式分期版本</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滋养细胞疾病</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妊娠滋养细胞疾病及滋养细胞肿瘤</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葡萄胎病理与hCG趋势，不能都写GTN</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妊娠滋养细胞肿瘤</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07 妊娠滋养细胞疾病及滋养细胞肿瘤</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FIGO解剖分期与改良WHO评分分开，PSTT ETT另核</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妇科肿瘤影像分期</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妇科肿瘤手术病理分期与治疗衔接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影像分期不是组织确诊，模态时点来源保存</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病理及分子病理</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妇科肿瘤手术病理分期与治疗衔接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冰冻石蜡免疫分子及修订逐版</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FIGO分期</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妇科肿瘤手术病理分期与治疗衔接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癌种体系版本、临床或病理证据，不足不赋期</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妇科肿瘤手术</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妇科肿瘤手术病理分期与治疗衔接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实际分期手术或减灭、残余灶与器官保留</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淋巴结及手术标本管理</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妇科肿瘤手术病理分期与治疗衔接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节点站位、左右、数量和标本ID，未取不写阴性</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妇科肿瘤综合治疗衔接</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妇科肿瘤手术病理分期与治疗衔接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意见、转诊接收和已执行治疗周期独立</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妇科肿瘤术后随访</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妇科肿瘤手术病理分期与治疗衔接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症状、并发症和复发监测按癌种，未回结果责任清楚</w:t>
            </w:r>
          </w:p>
        </w:tc>
      </w:tr>
      <w:tr>
        <w:tc>
          <w:tcPr>
            <w:tcW w:type="dxa" w:w="208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肿瘤复发及转移评估</w:t>
            </w:r>
          </w:p>
        </w:tc>
        <w:tc>
          <w:tcPr>
            <w:tcW w:type="dxa" w:w="25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08 妇科肿瘤手术病理分期与治疗衔接</w:t>
            </w:r>
          </w:p>
        </w:tc>
        <w:tc>
          <w:tcPr>
            <w:tcW w:type="dxa" w:w="52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60" w:line="264" w:lineRule="auto"/>
            </w:pPr>
            <w:r>
              <w:rPr>
                <w:rFonts w:ascii="Arial" w:hAnsi="Arial" w:eastAsia="宋体"/>
                <w:b w:val="0"/>
                <w:color w:val="000000"/>
                <w:sz w:val="21"/>
              </w:rPr>
              <w:t>复发临床影像病理及不确定性，标志物单升不确诊</w:t>
            </w:r>
          </w:p>
        </w:tc>
      </w:tr>
    </w:tbl>
    <w:p>
      <w:pPr>
        <w:spacing w:after="100"/>
      </w:pPr>
      <w:r>
        <w:rPr>
          <w:rFonts w:ascii="Arial" w:hAnsi="Arial" w:eastAsia="宋体"/>
          <w:b w:val="0"/>
          <w:color w:val="000000"/>
          <w:sz w:val="22"/>
        </w:rPr>
      </w:r>
    </w:p>
    <w:p>
      <w:bookmarkStart w:id="308" w:name="b308"/>
      <w:pPr>
        <w:pStyle w:val="Heading1"/>
      </w:pPr>
      <w:r>
        <w:t>完整虚构病例及可复制拟稿</w:t>
      </w:r>
      <w:bookmarkEnd w:id="308"/>
    </w:p>
    <w:p>
      <w:pPr>
        <w:spacing w:after="100"/>
      </w:pPr>
      <w:r>
        <w:rPr>
          <w:rFonts w:ascii="Arial" w:hAnsi="Arial" w:eastAsia="宋体"/>
          <w:b w:val="0"/>
          <w:color w:val="000000"/>
          <w:sz w:val="22"/>
        </w:rPr>
        <w:t>以下为完全虚构教学案例，所有数值、身份和医师意见均人工构造，不是当前患者资料。只在相应情境重放，不作为任何真实事实来源。</w:t>
      </w:r>
    </w:p>
    <w:p>
      <w:pPr>
        <w:spacing w:after="100"/>
      </w:pPr>
      <w:r>
        <w:rPr>
          <w:rFonts w:ascii="Arial" w:hAnsi="Arial" w:eastAsia="宋体"/>
          <w:b w:val="0"/>
          <w:color w:val="000000"/>
          <w:sz w:val="22"/>
        </w:rPr>
        <w:t>虚构输入与来源台账：虚构GY-C/SYN-C/E01，56岁，绝经后出血，10月28日内膜活检已证实低级别子宫内膜样癌。10月29日完成子宫及双附件手术OP-C，标本S-C为子宫。10月30日09:00正式石蜡回报同类型癌，肌层浸润小于1/2，未提供完整LVSI、淋巴结及分子资料。10:00主任王模拟真实意见：复核标本、补齐分子与风险信息，暂不填写FIGO2023具体期别，再确定辅助治疗。今日血压120/74mmHg，切口敷料干燥为实际所见。</w:t>
      </w:r>
    </w:p>
    <w:p>
      <w:pPr>
        <w:spacing w:after="100"/>
      </w:pPr>
      <w:r>
        <w:rPr>
          <w:rFonts w:ascii="Arial" w:hAnsi="Arial" w:eastAsia="宋体"/>
          <w:b w:val="0"/>
          <w:color w:val="000000"/>
          <w:sz w:val="22"/>
        </w:rPr>
        <w:t>调用与终审：按00及11识别对象和阶段，调用本模块及所需通用/专病；10核验来源、对象、时间和执行。下列为该虚构输入下可形成的拟稿或阻断说明。</w:t>
      </w:r>
    </w:p>
    <w:p>
      <w:pPr>
        <w:keepNext/>
        <w:spacing w:after="100"/>
      </w:pPr>
      <w:r>
        <w:rPr>
          <w:rFonts w:ascii="Arial" w:hAnsi="Arial" w:eastAsia="宋体"/>
          <w:b w:val="0"/>
          <w:color w:val="000000"/>
          <w:sz w:val="22"/>
        </w:rPr>
        <w:t>2026年10月30日 10:00 王模拟主任医师查房记录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王模拟主任医师查房，患者子宫及双附件手术后第1日，血压120/74mmHg，切口敷料干燥。今日09:00正式石蜡示低级别子宫内膜样癌，肌层浸润小于1/2，完整LVSI、淋巴结及分子资料尚缺。主任医师分析：需复核标本及补齐风险分层信息，现阶段不填写FIGO2023具体期别，待证据完整后决定辅助治疗。继续观察术后恢复并落实病理及分子结果跟踪。</w:t>
      </w:r>
    </w:p>
    <w:p>
      <w:pPr>
        <w:spacing w:after="140"/>
      </w:pPr>
      <w:r>
        <w:rPr>
          <w:rFonts w:ascii="Arial" w:hAnsi="Arial" w:eastAsia="宋体"/>
          <w:b w:val="0"/>
          <w:color w:val="000000"/>
          <w:sz w:val="22"/>
        </w:rPr>
        <w:t>```</w:t>
      </w:r>
    </w:p>
    <w:p>
      <w:bookmarkStart w:id="313" w:name="b313"/>
      <w:pPr>
        <w:pStyle w:val="Heading1"/>
      </w:pPr>
      <w:r>
        <w:t>真实性限制与常见错误</w:t>
      </w:r>
      <w:bookmarkEnd w:id="313"/>
    </w:p>
    <w:p>
      <w:pPr>
        <w:spacing w:after="100"/>
      </w:pPr>
      <w:r>
        <w:rPr>
          <w:rFonts w:ascii="Arial" w:hAnsi="Arial" w:eastAsia="宋体"/>
          <w:b w:val="0"/>
          <w:color w:val="000000"/>
          <w:sz w:val="22"/>
        </w:rPr>
        <w:t>将知识卡常见表现、治疗和模拟病例当作当前患者事实；单项检查代替完整诊断；未核正式版本即填分期或量表。</w:t>
      </w:r>
    </w:p>
    <w:p>
      <w:pPr>
        <w:spacing w:after="100"/>
      </w:pPr>
      <w:r>
        <w:rPr>
          <w:rFonts w:ascii="Arial" w:hAnsi="Arial" w:eastAsia="宋体"/>
          <w:b w:val="0"/>
          <w:color w:val="000000"/>
          <w:sz w:val="22"/>
        </w:rPr>
        <w:t>质控清单：核患者双标识及住院次；核妊娠、胎儿或病灶、分娩及操作事件；核发生时间与资料可知时间；核诊断证据、部位侧别、计划与执行；核当日实查、真实上级意见、未回结果责任及代码框。严重冲突按10暂停受影响净稿，不能用省略关键问题掩盖冲突。</w:t>
      </w:r>
    </w:p>
    <w:p>
      <w:bookmarkStart w:id="316" w:name="b316"/>
      <w:pPr>
        <w:pStyle w:val="Heading1"/>
      </w:pPr>
      <w:r>
        <w:t>模块协同及更新维护</w:t>
      </w:r>
      <w:bookmarkEnd w:id="316"/>
    </w:p>
    <w:p>
      <w:pPr>
        <w:spacing w:after="100"/>
      </w:pPr>
      <w:r>
        <w:rPr>
          <w:rFonts w:ascii="Arial" w:hAnsi="Arial" w:eastAsia="宋体"/>
          <w:b w:val="0"/>
          <w:color w:val="000000"/>
          <w:sz w:val="22"/>
        </w:rPr>
        <w:t>00识别任务→01最高约束→11病例状态→相关02至09→相关101至108→10终审→正式输出。只读取最小充分模块，多病联合时不重复生成矛盾医嘱。</w:t>
      </w:r>
    </w:p>
    <w:p>
      <w:pPr>
        <w:spacing w:after="100"/>
      </w:pPr>
      <w:r>
        <w:rPr>
          <w:rFonts w:ascii="Arial" w:hAnsi="Arial" w:eastAsia="宋体"/>
          <w:b w:val="0"/>
          <w:color w:val="000000"/>
          <w:sz w:val="22"/>
        </w:rPr>
        <w:t>版本V1.0，编制及检索截止2026年10月30日。维护须由医院指定妇科、产科、母胎医学、病理、药学及病案负责人实际审校；本次无真人专家签核，不虚构专家认证。至少季度复核，正式法规、指南、药品说明书或院内制度更新即修订，保留版本和变更依据并回测受影响场景。患者资料和临床输出不得写回通用模板或Skill。</w:t>
      </w:r>
    </w:p>
    <w:p>
      <w:bookmarkStart w:id="319" w:name="b319"/>
      <w:pPr>
        <w:pStyle w:val="Heading1"/>
      </w:pPr>
      <w:r>
        <w:t>指南来源与已核验范围</w:t>
      </w:r>
      <w:bookmarkEnd w:id="319"/>
    </w:p>
    <w:p>
      <w:pPr>
        <w:spacing w:after="100"/>
      </w:pPr>
      <w:r>
        <w:rPr>
          <w:rFonts w:ascii="Arial" w:hAnsi="Arial" w:eastAsia="宋体"/>
          <w:b w:val="0"/>
          <w:color w:val="000000"/>
          <w:sz w:val="22"/>
        </w:rPr>
        <w:t>以下区分正式正文、题录摘要、搜索索引可见和未获全文。具体未核推荐、证据等级、处方剂量及技术阈值均不补造。国外指南用于适用情况下的补充，不能取代中国有效法规和本院批准流程。完整42项登记及30类需求对应见根目录指南核验清单。</w:t>
      </w:r>
    </w:p>
    <w:p>
      <w:pPr>
        <w:spacing w:after="100"/>
      </w:pPr>
      <w:r>
        <w:rPr>
          <w:rFonts w:ascii="Arial" w:hAnsi="Arial" w:eastAsia="宋体"/>
          <w:b w:val="0"/>
          <w:color w:val="000000"/>
          <w:sz w:val="22"/>
        </w:rPr>
        <w:t>R23 中国子宫颈癌筛查指南 一。发布机构：七个学协会联合。年份及版本：2023 DOI 10.13390/j.issn.1672-1861.2023.04.029。适用人群：一般风险宫颈筛查。核验日期：2026-10-30。范围：原期刊题录和摘要可核。本库采用要点：高危HPV用于筛查，阳性不等于组织学癌；既往病变人群不能套一般间隔。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https:/​/​www.obgyncn.com/​CN/​10.13390/​j.issn.1672-1861.2023.04.029</w:t>
      </w:r>
    </w:p>
    <w:p>
      <w:pPr>
        <w:spacing w:after="100"/>
      </w:pPr>
      <w:r>
        <w:rPr>
          <w:rFonts w:ascii="Arial" w:hAnsi="Arial" w:eastAsia="宋体"/>
          <w:b w:val="0"/>
          <w:color w:val="000000"/>
          <w:sz w:val="22"/>
        </w:rPr>
        <w:t>R24 FIGO staging of endometrial cancer 2023。发布机构：FIGO Women’s Cancer Committee。年份及版本：2023。适用人群：子宫内膜癌分期。核验日期：2026-10-30。范围：正式分期原文及期刊题录已核。本库采用要点：2023体系包含组织学及相关分子信息；不能只凭肌层浸润套2009分期。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https:/​/​pmc.ncbi.nlm.nih.gov/​articles/​PMC10482588/​</w:t>
      </w:r>
    </w:p>
    <w:p>
      <w:pPr>
        <w:spacing w:after="100"/>
      </w:pPr>
      <w:r>
        <w:rPr>
          <w:rFonts w:ascii="Arial" w:hAnsi="Arial" w:eastAsia="宋体"/>
          <w:b w:val="0"/>
          <w:color w:val="000000"/>
          <w:sz w:val="22"/>
        </w:rPr>
        <w:t>R25 Cancer of the cervix uteri 2025 update。发布机构：FIGO Cancer Report作者组。年份及版本：2025 DOI 10.1002/ijgo.70277。适用人群：浸润性宫颈癌。核验日期：2026-10-30。范围：正式期刊全文检索可见；实时打开出现验证页。本库采用要点：2025报告仍讨论FIGO2018分期；更新报告年份不自动成为新分期年份。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https:/​/​pmc.ncbi.nlm.nih.gov/​articles/​PMC12411820/​</w:t>
      </w:r>
    </w:p>
    <w:p>
      <w:pPr>
        <w:spacing w:after="100"/>
      </w:pPr>
      <w:r>
        <w:rPr>
          <w:rFonts w:ascii="Arial" w:hAnsi="Arial" w:eastAsia="宋体"/>
          <w:b w:val="0"/>
          <w:color w:val="000000"/>
          <w:sz w:val="22"/>
        </w:rPr>
        <w:t>R26 Cancer of the ovary fallopian tube and peritoneum 2025 update。发布机构：FIGO Cancer Report作者组。年份及版本：2025 DOI 10.1002/ijgo.70282。适用人群：卵巢 输卵管 原发腹膜恶性肿瘤。核验日期：2026-10-30。范围：正式期刊全文检索可见；实时打开出现验证页。本库采用要点：按FIGO2014体系及后续正式修订核对包膜破裂时点、细胞学和转移；不凭肿瘤标志物定期。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https:/​/​pmc.ncbi.nlm.nih.gov/​articles/​PMC12411830/​</w:t>
      </w:r>
    </w:p>
    <w:p>
      <w:pPr>
        <w:spacing w:after="100"/>
      </w:pPr>
      <w:r>
        <w:rPr>
          <w:rFonts w:ascii="Arial" w:hAnsi="Arial" w:eastAsia="宋体"/>
          <w:b w:val="0"/>
          <w:color w:val="000000"/>
          <w:sz w:val="22"/>
        </w:rPr>
        <w:t>R27 Diagnosis and management of gestational trophoblastic disease 2025 update。发布机构：FIGO Cancer Report作者组。年份及版本：2025。适用人群：妊娠滋养细胞疾病。核验日期：2026-10-30。范围：正式期刊全文检索可见。本库采用要点：GTD病理和GTN诊断分开；FIGO2000解剖分期及改良WHO风险评分分开填。证据等级：未逐条复核原文推荐强度及证据质量，不赋自定等级。更新状态：仅确认本次检索到的正式版本或页面更新日期；不据未检出断言绝对最新。</w:t>
      </w:r>
    </w:p>
    <w:p>
      <w:pPr>
        <w:spacing w:after="100"/>
      </w:pPr>
      <w:r>
        <w:rPr>
          <w:rFonts w:ascii="Arial" w:hAnsi="Arial" w:eastAsia="宋体"/>
          <w:b w:val="0"/>
          <w:color w:val="000000"/>
          <w:sz w:val="22"/>
        </w:rPr>
        <w:t>https:/​/​pmc.ncbi.nlm.nih.gov/​articles/​PMC12411817/​</w:t>
      </w:r>
    </w:p>
    <w:sectPr w:rsidR="00FC693F" w:rsidRPr="0006063C" w:rsidSect="00034616">
      <w:headerReference w:type="default" r:id="rId9"/>
      <w:footerReference w:type="default" r:id="rId10"/>
      <w:pgSz w:w="12240" w:h="15840"/>
      <w:pgMar w:top="1123" w:right="1152" w:bottom="1123" w:left="1152" w:header="432"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妇产科AI病历书写系统 V1.0    模块 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106_妇科恶性肿瘤癌前病变及妊娠滋养细胞疾病模板库</dc:title>
  <dc:subject>妇产科医学文书规则及模板</dc:subject>
  <dc:creator>妇产科AI病历规则库</dc:creator>
  <cp:keywords>V1.0 医师审核 2026-10-30</cp:keywords>
  <dc:description>generated by python-docx</dc:description>
  <cp:lastModifiedBy/>
  <cp:revision>1</cp:revision>
  <dcterms:created xsi:type="dcterms:W3CDTF">2013-12-23T23:15:00Z</dcterms:created>
  <dcterms:modified xsi:type="dcterms:W3CDTF">2013-12-23T23:15:00Z</dcterms:modified>
  <cp:category/>
</cp:coreProperties>
</file>