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11 妇产科AI自动调用路由</w:t>
        <w:br/>
        <w:t>与母胎病例状态管理规则库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11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事实字段包装和状态枚举</w:t>
        </w:r>
      </w:hyperlink>
    </w:p>
    <w:p>
      <w:pPr>
        <w:spacing w:before="0" w:after="20" w:line="260" w:lineRule="exact"/>
        <w:ind w:left="0"/>
      </w:pPr>
      <w:hyperlink w:anchor="b10">
        <w:r>
          <w:rPr>
            <w:color w:val="000000"/>
            <w:sz w:val="20"/>
          </w:rPr>
          <w:t>病例状态字典</w:t>
        </w:r>
      </w:hyperlink>
    </w:p>
    <w:p>
      <w:pPr>
        <w:spacing w:before="0" w:after="20" w:line="260" w:lineRule="exact"/>
        <w:ind w:left="0"/>
      </w:pPr>
      <w:hyperlink w:anchor="b12">
        <w:r>
          <w:rPr>
            <w:color w:val="000000"/>
            <w:sz w:val="20"/>
          </w:rPr>
          <w:t>事件状态转换</w:t>
        </w:r>
      </w:hyperlink>
    </w:p>
    <w:p>
      <w:pPr>
        <w:spacing w:before="0" w:after="20" w:line="260" w:lineRule="exact"/>
        <w:ind w:left="0"/>
      </w:pPr>
      <w:hyperlink w:anchor="b15">
        <w:r>
          <w:rPr>
            <w:color w:val="000000"/>
            <w:sz w:val="20"/>
          </w:rPr>
          <w:t>五层时间轴及信息可知性</w:t>
        </w:r>
      </w:hyperlink>
    </w:p>
    <w:p>
      <w:pPr>
        <w:spacing w:before="0" w:after="20" w:line="260" w:lineRule="exact"/>
        <w:ind w:left="0"/>
      </w:pPr>
      <w:hyperlink w:anchor="b19">
        <w:r>
          <w:rPr>
            <w:color w:val="000000"/>
            <w:sz w:val="20"/>
          </w:rPr>
          <w:t>路由算法及增量维护</w:t>
        </w:r>
      </w:hyperlink>
    </w:p>
    <w:p>
      <w:pPr>
        <w:spacing w:before="0" w:after="20" w:line="260" w:lineRule="exact"/>
        <w:ind w:left="0"/>
      </w:pPr>
      <w:hyperlink w:anchor="b23">
        <w:r>
          <w:rPr>
            <w:color w:val="000000"/>
            <w:sz w:val="20"/>
          </w:rPr>
          <w:t>未接入状态及患者信息保存边界</w:t>
        </w:r>
      </w:hyperlink>
    </w:p>
    <w:p>
      <w:pPr>
        <w:spacing w:before="0" w:after="20" w:line="260" w:lineRule="exact"/>
        <w:ind w:left="0"/>
      </w:pPr>
      <w:hyperlink w:anchor="b25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30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33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36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功能定位：多对象病例状态事实版本和自动最小路由。适用中国医院妇科病房、产科高危病房、产房、手术及产褥随访；仅处理本模块相关任务。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自动调用条件：新病例新资料跨日多胎多次手术分娩或修正。必需资料：可靠患者住院、本妊娠各胎病灶及事件、来源时间状态。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事实字段包装和状态枚举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条事实：value、status、patient_id、encounter_id、pregnancy_id、subject_type、fetus_id、newborn_id、lesion_id、delivery_id、procedure_id、specimen_id、event_time、recorded_at、available_at、source_id、source_type、author、verification、supersedes。无关联用null和not_applicable表达，不能用0充未知。临床对象为mother、fetus、newborn或lesion，母亲主键用于母胎关联，不代表所有事实都归母体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状态：unknown未知、pending_verification待核、not_examined未查、confirmed_negative有依据阴性、not_applicable不适用；suggested建议、planned计划、ordered已开立、prepared已准备、started已开始、performed已实施、completed已完成、paused暂停、stopped停止、cancelled取消、declined拒绝。实际诊断另存suspected、supported、confirmed、revised、excluded，不能从治疗状态推确诊。</w:t>
      </w:r>
    </w:p>
    <w:p>
      <w:bookmarkStart w:id="10" w:name="b10"/>
      <w:pPr>
        <w:pStyle w:val="Heading1"/>
      </w:pPr>
      <w:r>
        <w:t>病例状态字典</w:t>
      </w:r>
      <w:bookmarkEnd w:id="10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5256"/>
      </w:tblGrid>
      <w:tr>
        <w:trPr>
          <w:tblHeader/>
        </w:trPr>
        <w:tc>
          <w:tcPr>
            <w:tcW w:type="dxa" w:w="2088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5256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隔离与核验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patient_id encounter_id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母体及本次就诊住院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双标识核对；同名或床号不够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pregnancy_id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独立妊娠事件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同次妊娠可多次住院，多次妊娠不能复用胎儿数据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obstetric_history gravida para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逐次结局和孕次产次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产次统计口径明确，多胎不等多次产次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dating_basis confirmed_edd version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定孕依据预产期及确认版本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目标日期计算孕周，冲突不静默覆盖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pregnancy_state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妊娠中待产分娩完成产褥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不从标题推进，实际结局触发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fetus_id label location_map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各胎固定身份及定位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机构A B变化须核，不靠字母盲合并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fetal_observations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每胎胎位心率生长羊水胎盘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每次检查时间方法及可用时间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ctg nst interpretation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曲线自动分析及医师判读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场景体系版本及信号可靠性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labor_observations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各时点宫缩宫口站位胎膜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历史不是当日实测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delivery_id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分娩事件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分娩可能有多种各胎途径，不能只一个总方式掩盖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birth_events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各胎出生及新生儿ID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时间体重Apgar均原始记录，出生映射须证据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placenta_event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胎盘娩出检查及处理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出生时间与胎盘时间不互换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newborn_id linkage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新生儿独立身份及必要关联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不能自动共享母体检查或生成完整儿科病历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lesion_id anatomy laterality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妇科各病灶位置侧别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同侧多病灶也按标本和影像分别追踪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procedure_id procedure_state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各次手术操作及状态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引产、止血、剖宫产、再手术分别ID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procedure_details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实际入路所见步骤转换和人员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无原记录不得按标准术式补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specimen_id pathology_versions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取材、冰冻、石蜡分子及复核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实际来源和available_at核，不能未来倒填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cancer_staging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癌种版本临床与病理依据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未核分期必要变量则不赋期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orders administrations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计划医嘱及每次给药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开立不等给药，停药不抹去先前暴露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blood_loss components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出血分段和累计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时间窗计量单位及组成，防重叠重复相加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transfusion fluid_devices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输血补液填塞引流导管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申请准备实际置入、输入、撤除独立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postop postpartum_day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各操作术后日及本分娩产后日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各自已核时间和院内口径，不互相替代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senior_opinions consent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真实上级意见与知情状态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到场发言采纳执行签署分开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discharge pending followup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出院诊断带药待回责任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跨科母婴交接和长期复查状态各自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12" w:name="b12"/>
      <w:pPr>
        <w:pStyle w:val="Heading1"/>
      </w:pPr>
      <w:r>
        <w:t>事件状态转换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分娩路径不是所有人必经同一条直线。待产可进入产程，也可直接剖宫产；进入第一产程后可自然分娩、助产或转剖宫产；各胎出生方式可不同；胎盘娩出和产后观察各有事实触发。计划或同意不能触发出生。每次手术拟行→准备→实际开始→实际完成，延期取消另留原因，完成后再手术新建事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治疗知识→建议→医师计划→医嘱→每次实际执行；暂停停止取消拒绝可以发生在不同阶段，恢复须新决定和执行。填塞球囊导管等计划→实际置入→观察调整→撤除；不能因产后日自动撤装置。状态更新需来源和生效时间。</w:t>
      </w:r>
    </w:p>
    <w:p>
      <w:bookmarkStart w:id="15" w:name="b15"/>
      <w:pPr>
        <w:pStyle w:val="Heading1"/>
      </w:pPr>
      <w:r>
        <w:t>五层时间轴及信息可知性</w:t>
      </w:r>
      <w:bookmarkEnd w:id="1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妊娠：确认→定孕→产检高危→住院监测→分娩决策→实际结局→产后。分娩：临产关键检查→各胎出生→胎盘→观察。剖宫产：计划准备→实际切皮→各胎出生→结束→术后。妇科手术：诊断→决定准备→实施→恢复→病理→修正→随访。肿瘤：筛查→活检病理→分期→方案→实际治疗→疗效随访。各轴通过真实ID关联，不按文本先后强行合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进入文书需event_time不晚于文书时点且available_at已到，回报在未来的石蜡不能放入早先病程。recorded_at仅为资料记录时点，不能替代发生或回报时间。迟录已知早期事实须说明来源与补记，不能倒签。诊断修订有原诊断、新证据、时间、医师、新版本和治疗影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术后日按Asia/Shanghai目标日期减已核院内手术登记日期；同日为0、次日为1，若院内另有口径必须注明。跨午夜归日不清可用距真实结束小时，先核再算。产后日依本次delivery_id对应实际分娩日期，若多胎跨日须核院内分娩归日。多次手术分别计算，不能以最近一次覆盖所有术后状态。</w:t>
      </w:r>
    </w:p>
    <w:p>
      <w:bookmarkStart w:id="19" w:name="b19"/>
      <w:pPr>
        <w:pStyle w:val="Heading1"/>
      </w:pPr>
      <w:r>
        <w:t>路由算法及增量维护</w:t>
      </w:r>
      <w:bookmarkEnd w:id="1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次运行：识别目标文书及时间→核患者住院和妊娠/病灶→隔离异来源→更新事实及状态→判断关键冲突→选择通用和专病→候选正文→10逐项终审→合格输出。新住院只引用有明确历史属性的旧史，不继承旧给药和当日查体；跨会话重新提供脱敏当前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tblHeader/>
        </w:trPr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7344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需要模块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正常妊娠入院首次病程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00→01→11→02→03→04→101→10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高危妊娠主任医师查房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00→01→11→02→03→04→08→101→10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产程观察记录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00→01→11→02→03→04→05→102→10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产程异常拟转剖宫产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00→01→11→02→03→05→08→102→10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剖宫产术后首次病程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00→01→11→02→05→102→10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子痫前期主任查房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00→01→11→02→04→07→08→103→10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产后出血抢救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00→01→11→02→04→05→06→07→103→10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妊娠期高血糖病程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00→01→11→02→04→07→104→10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子宫肌瘤剔除术后第一天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00→01→11→02→05→105→10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卵巢肿瘤病理回报主任查房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00→01→11→02→04→08→106→10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异常子宫出血首次病程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00→01→11→02→03→04→107→10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盆腔器官脱垂术前讨论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00→01→11→02→03→05→108→10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产褥期出院记录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00→01→11→02→09→104→10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妇科恶性肿瘤术后出院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00→01→11→02→04→09→106→10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疾病触发：正常产前胎儿评估101；产程分娩剖宫产102；高血压早产破膜胎盘出血妊娠终止异位103；合并病多胎产褥104；良性占位内异宫腹腔镜105；癌前恶性GTD106；感染AUB内分泌不孕107；盆底泌尿绝经青少年特殊解剖108。急变加06，用药输血加07，查房加08，出院恢复加09，结果分析加04，实际操作加05。</w:t>
      </w:r>
    </w:p>
    <w:p>
      <w:bookmarkStart w:id="23" w:name="b23"/>
      <w:pPr>
        <w:pStyle w:val="Heading1"/>
      </w:pPr>
      <w:r>
        <w:t>未接入状态及患者信息保存边界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仅包含可读取规则、模板和离线模拟核验器，不持续监控患者，不自动从EMR取数据，不保存真实病例到公共模块。将来接入须另行实现身份权限、标准接口、审计、院内临床验证及责任配置。本次未部署这些能力。</w:t>
      </w:r>
    </w:p>
    <w:p>
      <w:bookmarkStart w:id="25" w:name="b25"/>
      <w:pPr>
        <w:pStyle w:val="Heading1"/>
      </w:pPr>
      <w:r>
        <w:t>完整虚构病例及可复制拟稿</w:t>
      </w:r>
      <w:bookmarkEnd w:id="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S/SYN-S：PG01于2024年分娩N-OLD体重3300g，E01已结束；当前2026年PG02/E02，胎儿FA、FB。当前超声FA估重2100g、FB1900g。D02于10月29日07:50第一名、08:00第二名出生，但未提供孕期胎儿与出生对应证据；剖宫产OP02于07:40至08:45完成。10月30日形成记录，新生儿分别N21、N22，出生体重及Apgar未提供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多对象事件状态记录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为PG02/E02妊娠分娩事件D02，OP02已于10月29日完成剖宫产，按已核登记日期为术后第1日、产后第1日。两名新生儿N21、N22分别于07:50及08:00出生，孕期FA、FB与其对应关系尚未核实，不按出生顺序推定。FA2100g、FB1900g为产前超声估重，不能写为出生体重；2024年PG01的新生儿体重不作为本次数据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" w:name="b30"/>
      <w:pPr>
        <w:pStyle w:val="Heading1"/>
      </w:pPr>
      <w:r>
        <w:t>真实性限制与常见错误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前次妊娠或住院资料串入，出生顺序默认对应孕期A B。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33" w:name="b33"/>
      <w:pPr>
        <w:pStyle w:val="Heading1"/>
      </w:pPr>
      <w:r>
        <w:t>模块协同及更新维护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36" w:name="b36"/>
      <w:pPr>
        <w:pStyle w:val="Heading1"/>
      </w:pPr>
      <w:r>
        <w:t>指南来源与已核验范围</w:t>
      </w:r>
      <w:bookmarkEnd w:id="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病历书写基本规范。发布机构：卫生部。年份及版本：2010 卫医政发〔2010〕11号。适用人群：中国医疗机构病历。核验日期：2026-10-30。范围：官方正文可读。本库采用要点：客观真实及时完整；病程、手术、抢救及出院记录遵守法定结构和时限。证据等级：规范性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https:/​/​www.nhc.gov.cn/​wjw/​c100175/​201002/​b1bec53d90f243e0861529723f00221a.shtml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 试行。发布机构：国家卫生计生委 国家中医药管理局。年份及版本：2017 国卫办医发〔2017〕8号。适用人群：电子病历建立修订保存。核验日期：2026-10-30。范围：官方正文可读；2010电子病历基本规范已被此文明确废止。本库采用要点：修改留痕及权限管理；本规则库不冒充EMR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R07 孕产妇妊娠风险评估与管理工作规范。发布机构：国家卫生计生委办公厅。年份及版本：2017 国卫办妇幼发〔2017〕35号。适用人群：妊娠至产后42天。核验日期：2026-10-30。范围：官方正文可核。本库采用要点：初评及病情变化后的动态评估，分级有日期和依据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https:/​/​www.nhc.gov.cn/​fys/​gzbs/​201711/​c940e3204de64ee8bd074ad05f5a6548.shtml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R17 ISUOG Practice Guidelines updated role of ultrasound in twin pregnancy。发布机构：ISUOG。年份及版本：2025 DOI 10.1002/uog.29166。适用人群：双胎超声及并发症。核验日期：2026-10-30。范围：学会正式PDF和期刊元数据已核。本库采用要点：胎儿标识和绒毛膜性需纵向保持，单绒毛膜特殊风险独立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https:/​/​www.isuog.org/​static/​89db40d1-928b-49bc-be5ea200fd41130c/​ISUOG-Practice-Guidelines-role-of-ultrasound-in-twin-pregnancy.pdf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R34 关于进一步加强医疗机构电子病历信息使用管理的通知。发布机构：国家卫生健康委等。年份及版本：2025。适用人群：医疗机构电子病历信息使用。核验日期：2026-10-30。范围：官方发布可核。本库采用要点：信息访问遵循诊疗需要、权限及可追溯要求。证据等级：管理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https:/​/​www.nhc.gov.cn/​yzygj/​c100068/​202506/​c68abee7c54b4651a774cd533761780b.shtml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补充分娩后的定孕边界：本次分娩已实际完成后停止输出“当前孕周”，必要时仅引用分娩时已核孕周；当前阶段改为相应产后日。孕次和产次以实际事件及院内口径更新。病理必须与已核标本ID对应，未知/未查值不能转为确定性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11_妇产科AI自动调用路由与母胎病例状态管理规则库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