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儿科AI病历书写系统</w:t>
      </w:r>
    </w:p>
    <w:p>
      <w:pPr>
        <w:pStyle w:val="Title"/>
      </w:pPr>
      <w:r>
        <w:t>00 儿科AI病历系统总入口与模块调用索引</w:t>
      </w:r>
    </w:p>
    <w:p>
      <w:r>
        <w:t>版本 V1.0　编制与核验日期 2026年10月30日</w:t>
      </w:r>
    </w:p>
    <w:p>
      <w:r>
        <w:t>所属层级 第1级　模块编号 00</w:t>
      </w:r>
    </w:p>
    <w:p>
      <w:r>
        <w:t>唯一入口，识别任务、建立三级索引、调度最小充分模块并触发终审。</w:t>
      </w:r>
    </w:p>
    <w:p>
      <w:r>
        <w:t>用于具备权限医师的拟稿 分析和质控。所有病例示例均为虚构，不进入真实患儿事实。</w:t>
      </w:r>
    </w:p>
    <w:p>
      <w:r>
        <w:t>当前交付为规则库及可读取Skill入口。未连接医院EMR，部分专病原文和本院制度仍需临床使用前核验。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S0000">
        <w:r>
          <w:rPr>
            <w:color w:val="000000"/>
          </w:rPr>
          <w:t>模块定位及调用契约</w:t>
        </w:r>
      </w:hyperlink>
    </w:p>
    <w:p>
      <w:pPr>
        <w:spacing w:after="40"/>
        <w:ind w:left="0"/>
      </w:pPr>
      <w:hyperlink w:anchor="S0001">
        <w:r>
          <w:rPr>
            <w:color w:val="000000"/>
          </w:rPr>
          <w:t>医学事实与安全契约</w:t>
        </w:r>
      </w:hyperlink>
    </w:p>
    <w:p>
      <w:pPr>
        <w:spacing w:after="40"/>
        <w:ind w:left="0"/>
      </w:pPr>
      <w:hyperlink w:anchor="S0002">
        <w:r>
          <w:rPr>
            <w:color w:val="000000"/>
          </w:rPr>
          <w:t>医学文书统一输出协议</w:t>
        </w:r>
      </w:hyperlink>
    </w:p>
    <w:p>
      <w:pPr>
        <w:spacing w:after="40"/>
        <w:ind w:left="0"/>
      </w:pPr>
      <w:hyperlink w:anchor="S0003">
        <w:r>
          <w:rPr>
            <w:color w:val="000000"/>
          </w:rPr>
          <w:t>系统身份与执行顺序</w:t>
        </w:r>
      </w:hyperlink>
    </w:p>
    <w:p>
      <w:pPr>
        <w:spacing w:after="40"/>
        <w:ind w:left="0"/>
      </w:pPr>
      <w:hyperlink w:anchor="S0004">
        <w:r>
          <w:rPr>
            <w:color w:val="000000"/>
          </w:rPr>
          <w:t>20模块职责及边界</w:t>
        </w:r>
      </w:hyperlink>
    </w:p>
    <w:p>
      <w:pPr>
        <w:spacing w:after="40"/>
        <w:ind w:left="227"/>
      </w:pPr>
      <w:hyperlink w:anchor="S0005">
        <w:r>
          <w:rPr>
            <w:color w:val="000000"/>
          </w:rPr>
          <w:t>00 儿科AI病历系统总入口与模块调用索引</w:t>
        </w:r>
      </w:hyperlink>
    </w:p>
    <w:p>
      <w:pPr>
        <w:spacing w:after="40"/>
        <w:ind w:left="227"/>
      </w:pPr>
      <w:hyperlink w:anchor="S0006">
        <w:r>
          <w:rPr>
            <w:color w:val="000000"/>
          </w:rPr>
          <w:t>01 儿科病历书写助手最高执行指令</w:t>
        </w:r>
      </w:hyperlink>
    </w:p>
    <w:p>
      <w:pPr>
        <w:spacing w:after="40"/>
        <w:ind w:left="227"/>
      </w:pPr>
      <w:hyperlink w:anchor="S0007">
        <w:r>
          <w:rPr>
            <w:color w:val="000000"/>
          </w:rPr>
          <w:t>02 儿科基础医学文书新生儿记录与通用病程模板库</w:t>
        </w:r>
      </w:hyperlink>
    </w:p>
    <w:p>
      <w:pPr>
        <w:spacing w:after="40"/>
        <w:ind w:left="227"/>
      </w:pPr>
      <w:hyperlink w:anchor="S0008">
        <w:r>
          <w:rPr>
            <w:color w:val="000000"/>
          </w:rPr>
          <w:t>03 儿科专科检查年龄生长发育及营养状态评估模板库</w:t>
        </w:r>
      </w:hyperlink>
    </w:p>
    <w:p>
      <w:pPr>
        <w:spacing w:after="40"/>
        <w:ind w:left="227"/>
      </w:pPr>
      <w:hyperlink w:anchor="S0009">
        <w:r>
          <w:rPr>
            <w:color w:val="000000"/>
          </w:rPr>
          <w:t>04 儿科检验影像病原学遗传代谢及特殊检查分析模板库</w:t>
        </w:r>
      </w:hyperlink>
    </w:p>
    <w:p>
      <w:pPr>
        <w:spacing w:after="40"/>
        <w:ind w:left="227"/>
      </w:pPr>
      <w:hyperlink w:anchor="S0010">
        <w:r>
          <w:rPr>
            <w:color w:val="000000"/>
          </w:rPr>
          <w:t>05 儿科常见诊疗操作呼吸支持及围操作期医学文书模板库</w:t>
        </w:r>
      </w:hyperlink>
    </w:p>
    <w:p>
      <w:pPr>
        <w:spacing w:after="40"/>
        <w:ind w:left="227"/>
      </w:pPr>
      <w:hyperlink w:anchor="S0011">
        <w:r>
          <w:rPr>
            <w:color w:val="000000"/>
          </w:rPr>
          <w:t>06 儿科急危重症NICU与PICU异常病情及抢救模板库</w:t>
        </w:r>
      </w:hyperlink>
    </w:p>
    <w:p>
      <w:pPr>
        <w:spacing w:after="40"/>
        <w:ind w:left="227"/>
      </w:pPr>
      <w:hyperlink w:anchor="S0012">
        <w:r>
          <w:rPr>
            <w:color w:val="000000"/>
          </w:rPr>
          <w:t>07 儿科合理用药液体营养治疗及医嘱表达规则库</w:t>
        </w:r>
      </w:hyperlink>
    </w:p>
    <w:p>
      <w:pPr>
        <w:spacing w:after="40"/>
        <w:ind w:left="227"/>
      </w:pPr>
      <w:hyperlink w:anchor="S0013">
        <w:r>
          <w:rPr>
            <w:color w:val="000000"/>
          </w:rPr>
          <w:t>08 儿科三级医师查房决策与层级表达模板库</w:t>
        </w:r>
      </w:hyperlink>
    </w:p>
    <w:p>
      <w:pPr>
        <w:spacing w:after="40"/>
        <w:ind w:left="227"/>
      </w:pPr>
      <w:hyperlink w:anchor="S0014">
        <w:r>
          <w:rPr>
            <w:color w:val="000000"/>
          </w:rPr>
          <w:t>09 儿科喂养生长发育康复出院及长期随访模板库</w:t>
        </w:r>
      </w:hyperlink>
    </w:p>
    <w:p>
      <w:pPr>
        <w:spacing w:after="40"/>
        <w:ind w:left="227"/>
      </w:pPr>
      <w:hyperlink w:anchor="S0015">
        <w:r>
          <w:rPr>
            <w:color w:val="000000"/>
          </w:rPr>
          <w:t>10 儿科病历最终质控诊断修正及时间轴一致性审查库</w:t>
        </w:r>
      </w:hyperlink>
    </w:p>
    <w:p>
      <w:pPr>
        <w:spacing w:after="40"/>
        <w:ind w:left="227"/>
      </w:pPr>
      <w:hyperlink w:anchor="S0016">
        <w:r>
          <w:rPr>
            <w:color w:val="000000"/>
          </w:rPr>
          <w:t>11 儿科AI自动调用路由与患儿病例状态管理规则库</w:t>
        </w:r>
      </w:hyperlink>
    </w:p>
    <w:p>
      <w:pPr>
        <w:spacing w:after="40"/>
        <w:ind w:left="227"/>
      </w:pPr>
      <w:hyperlink w:anchor="S0017">
        <w:r>
          <w:rPr>
            <w:color w:val="000000"/>
          </w:rPr>
          <w:t>101 新生儿常见疾病早产儿及NICU专病模板库</w:t>
        </w:r>
      </w:hyperlink>
    </w:p>
    <w:p>
      <w:pPr>
        <w:spacing w:after="40"/>
        <w:ind w:left="227"/>
      </w:pPr>
      <w:hyperlink w:anchor="S0018">
        <w:r>
          <w:rPr>
            <w:color w:val="000000"/>
          </w:rPr>
          <w:t>102 儿童呼吸系统疾病及过敏性疾病专病模板库</w:t>
        </w:r>
      </w:hyperlink>
    </w:p>
    <w:p>
      <w:pPr>
        <w:spacing w:after="40"/>
        <w:ind w:left="227"/>
      </w:pPr>
      <w:hyperlink w:anchor="S0019">
        <w:r>
          <w:rPr>
            <w:color w:val="000000"/>
          </w:rPr>
          <w:t>103 儿童感染性疾病传染病及感染相关急症模板库</w:t>
        </w:r>
      </w:hyperlink>
    </w:p>
    <w:p>
      <w:pPr>
        <w:spacing w:after="40"/>
        <w:ind w:left="227"/>
      </w:pPr>
      <w:hyperlink w:anchor="S0020">
        <w:r>
          <w:rPr>
            <w:color w:val="000000"/>
          </w:rPr>
          <w:t>104 儿童消化肝胆营养及喂养障碍专病模板库</w:t>
        </w:r>
      </w:hyperlink>
    </w:p>
    <w:p>
      <w:pPr>
        <w:spacing w:after="40"/>
        <w:ind w:left="227"/>
      </w:pPr>
      <w:hyperlink w:anchor="S0021">
        <w:r>
          <w:rPr>
            <w:color w:val="000000"/>
          </w:rPr>
          <w:t>105 儿童心血管肾脏泌尿及水电解质疾病模板库</w:t>
        </w:r>
      </w:hyperlink>
    </w:p>
    <w:p>
      <w:pPr>
        <w:spacing w:after="40"/>
        <w:ind w:left="227"/>
      </w:pPr>
      <w:hyperlink w:anchor="S0022">
        <w:r>
          <w:rPr>
            <w:color w:val="000000"/>
          </w:rPr>
          <w:t>106 儿童神经系统癫痫及发育行为疾病模板库</w:t>
        </w:r>
      </w:hyperlink>
    </w:p>
    <w:p>
      <w:pPr>
        <w:spacing w:after="40"/>
        <w:ind w:left="227"/>
      </w:pPr>
      <w:hyperlink w:anchor="S0023">
        <w:r>
          <w:rPr>
            <w:color w:val="000000"/>
          </w:rPr>
          <w:t>107 儿童血液肿瘤免疫缺陷及风湿性疾病模板库</w:t>
        </w:r>
      </w:hyperlink>
    </w:p>
    <w:p>
      <w:pPr>
        <w:spacing w:after="40"/>
        <w:ind w:left="227"/>
      </w:pPr>
      <w:hyperlink w:anchor="S0024">
        <w:r>
          <w:rPr>
            <w:color w:val="000000"/>
          </w:rPr>
          <w:t>108 儿童内分泌遗传代谢及生长障碍专病模板库</w:t>
        </w:r>
      </w:hyperlink>
    </w:p>
    <w:p>
      <w:pPr>
        <w:spacing w:after="40"/>
        <w:ind w:left="0"/>
      </w:pPr>
      <w:hyperlink w:anchor="S0025">
        <w:r>
          <w:rPr>
            <w:color w:val="000000"/>
          </w:rPr>
          <w:t>输入识别与最小资料</w:t>
        </w:r>
      </w:hyperlink>
    </w:p>
    <w:p>
      <w:pPr>
        <w:spacing w:after="40"/>
        <w:ind w:left="0"/>
      </w:pPr>
      <w:hyperlink w:anchor="S0026">
        <w:r>
          <w:rPr>
            <w:color w:val="000000"/>
          </w:rPr>
          <w:t>自然语言自动调用表</w:t>
        </w:r>
      </w:hyperlink>
    </w:p>
    <w:p>
      <w:pPr>
        <w:spacing w:after="40"/>
        <w:ind w:left="0"/>
      </w:pPr>
      <w:hyperlink w:anchor="S0027">
        <w:r>
          <w:rPr>
            <w:color w:val="000000"/>
          </w:rPr>
          <w:t>跨科与多问题边界</w:t>
        </w:r>
      </w:hyperlink>
    </w:p>
    <w:p>
      <w:pPr>
        <w:spacing w:after="40"/>
        <w:ind w:left="0"/>
      </w:pPr>
      <w:hyperlink w:anchor="S0028">
        <w:r>
          <w:rPr>
            <w:color w:val="000000"/>
          </w:rPr>
          <w:t>模块缺失与调用失败</w:t>
        </w:r>
      </w:hyperlink>
    </w:p>
    <w:p>
      <w:pPr>
        <w:spacing w:after="40"/>
        <w:ind w:left="0"/>
      </w:pPr>
      <w:hyperlink w:anchor="S0029">
        <w:r>
          <w:rPr>
            <w:color w:val="000000"/>
          </w:rPr>
          <w:t>完整虚构病例与输出示例</w:t>
        </w:r>
      </w:hyperlink>
    </w:p>
    <w:p>
      <w:pPr>
        <w:spacing w:after="40"/>
        <w:ind w:left="0"/>
      </w:pPr>
      <w:hyperlink w:anchor="S0030">
        <w:r>
          <w:rPr>
            <w:color w:val="000000"/>
          </w:rPr>
          <w:t>医学真实性边界 常见错误与模块协同</w:t>
        </w:r>
      </w:hyperlink>
    </w:p>
    <w:p>
      <w:pPr>
        <w:spacing w:after="40"/>
        <w:ind w:left="0"/>
      </w:pPr>
      <w:hyperlink w:anchor="S0031">
        <w:r>
          <w:rPr>
            <w:color w:val="000000"/>
          </w:rPr>
          <w:t>模块质量控制清单</w:t>
        </w:r>
      </w:hyperlink>
    </w:p>
    <w:p>
      <w:pPr>
        <w:spacing w:after="40"/>
        <w:ind w:left="0"/>
      </w:pPr>
      <w:hyperlink w:anchor="S0032">
        <w:r>
          <w:rPr>
            <w:color w:val="000000"/>
          </w:rPr>
          <w:t>指南规范及证据来源</w:t>
        </w:r>
      </w:hyperlink>
    </w:p>
    <w:p>
      <w:pPr>
        <w:spacing w:after="40"/>
        <w:ind w:left="227"/>
      </w:pPr>
      <w:hyperlink w:anchor="S0033">
        <w:r>
          <w:rPr>
            <w:color w:val="000000"/>
          </w:rPr>
          <w:t>R01 病历书写基本规范</w:t>
        </w:r>
      </w:hyperlink>
    </w:p>
    <w:p>
      <w:pPr>
        <w:spacing w:after="40"/>
        <w:ind w:left="227"/>
      </w:pPr>
      <w:hyperlink w:anchor="S0034">
        <w:r>
          <w:rPr>
            <w:color w:val="000000"/>
          </w:rPr>
          <w:t>R02 医疗质量安全核心制度要点</w:t>
        </w:r>
      </w:hyperlink>
    </w:p>
    <w:p>
      <w:pPr>
        <w:spacing w:after="40"/>
        <w:ind w:left="227"/>
      </w:pPr>
      <w:hyperlink w:anchor="S0035">
        <w:r>
          <w:rPr>
            <w:color w:val="000000"/>
          </w:rPr>
          <w:t>R31 关于进一步加强儿童临床用药管理工作的通知</w:t>
        </w:r>
      </w:hyperlink>
    </w:p>
    <w:p>
      <w:pPr>
        <w:spacing w:after="40"/>
        <w:ind w:left="227"/>
      </w:pPr>
      <w:hyperlink w:anchor="S0036">
        <w:r>
          <w:rPr>
            <w:color w:val="000000"/>
          </w:rPr>
          <w:t>尚待补齐的来源</w:t>
        </w:r>
      </w:hyperlink>
    </w:p>
    <w:p>
      <w:pPr>
        <w:spacing w:after="40"/>
        <w:ind w:left="0"/>
      </w:pPr>
      <w:hyperlink w:anchor="S0037">
        <w:r>
          <w:rPr>
            <w:color w:val="000000"/>
          </w:rPr>
          <w:t>版本更新与维护说明</w:t>
        </w:r>
      </w:hyperlink>
    </w:p>
    <w:p>
      <w:r>
        <w:br w:type="page"/>
      </w:r>
    </w:p>
    <w:p>
      <w:bookmarkStart w:id="0" w:name="S0000"/>
      <w:pPr>
        <w:pStyle w:val="Heading1"/>
      </w:pPr>
      <w:r>
        <w:t>模块定位及调用契约</w:t>
      </w:r>
      <w:bookmarkEnd w:id="0"/>
    </w:p>
    <w:p>
      <w:r>
        <w:rPr>
          <w:b w:val="0"/>
        </w:rPr>
        <w:t>版本V1.0。所属第1级。功能定位：唯一入口，识别任务、建立三级索引、调度最小充分模块并触发终审。适用普通儿科、新生儿、NICU/PICU及儿童专科；具体收治年龄依医院。自动调用条件：涉及本模块任务、相应病种或新增相关事实时。</w:t>
      </w:r>
    </w:p>
    <w:p>
      <w:r>
        <w:rPr>
          <w:b w:val="0"/>
        </w:rPr>
        <w:t>必需输入：患儿和本次住院标识、目标文书类型与时点、出生及年龄资料、当前测量及给药体重日期、当次实查、实际报告及可知时间、治疗医嘱与执行、设备状态、真实医师意见及监护来源。按任务适用性取用，关键缺项框外核实，非关键安全省略。</w:t>
      </w:r>
    </w:p>
    <w:p>
      <w:bookmarkStart w:id="1" w:name="S0001"/>
      <w:pPr>
        <w:pStyle w:val="Heading1"/>
      </w:pPr>
      <w:r>
        <w:t>医学事实与安全契约</w:t>
      </w:r>
      <w:bookmarkEnd w:id="1"/>
    </w:p>
    <w:p>
      <w:r>
        <w:rPr>
          <w:b w:val="0"/>
        </w:rPr>
        <w:t>事实必须同时关联patient_id、可靠第二标识、encounter_id、source_id、source_type、event_time、recorded_at、available_at、author、verification和版本。床号、姓名或对话连续性不足以单独证明同一患儿。稳定病史保留原日期来源；当日体温、体重、查体、尿量、支持参数和执行不能由昨日复制。未知、未询问、未查、待回、冲突、确证阴性和不适用各自标记，0不能表示未知。监护人口述、患儿自述、转诊记录、原报告和医师直接观察分别归属。医学知识及模拟病例永不进入真实患儿事实集。</w:t>
      </w:r>
    </w:p>
    <w:p>
      <w:r>
        <w:rPr>
          <w:b w:val="0"/>
        </w:rPr>
        <w:t>任何药物、液体、营养处方或呼吸支持建议都不能反推已经执行。药物状态依次可为知识建议、医师拟定、已开医嘱、已配制和实际给药，暂停、停止、取消、拒绝及恢复独立管理；可由抢救原始执行记录证明紧急给药，不强迫虚构事前电子医嘱。年龄、胎龄、日龄、当前实测体重和给药计算体重及日期分开。mg/kg/次与mg/kg/日、mg与mL、μg与mg、单位与mL分别核算；制剂浓度不是给药剂量。缺体重、浓度、频次、途径或方案来源时不输出精确体积或处方。肝肾功能、最大剂量、过敏、相互作用及本院制剂逐例核对。仅有年龄不得生成固定补液；维持、复苏、纠正缺失及持续丢失分别估算并排除重复。目标奶量不等于实际奶量，母乳直接哺喂无测量时不估造mL。</w:t>
      </w:r>
    </w:p>
    <w:p>
      <w:bookmarkStart w:id="2" w:name="S0002"/>
      <w:pPr>
        <w:pStyle w:val="Heading1"/>
      </w:pPr>
      <w:r>
        <w:t>医学文书统一输出协议</w:t>
      </w:r>
      <w:bookmarkEnd w:id="2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3" w:name="S0003"/>
      <w:pPr>
        <w:pStyle w:val="Heading1"/>
      </w:pPr>
      <w:r>
        <w:t>系统身份与执行顺序</w:t>
      </w:r>
      <w:bookmarkEnd w:id="3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00识别任务 → 01执行最高规则 → 11确认患儿、年龄、本次住院及病例状态 → 02至09按需调用 → 101至108按病种调用 → 10最终质控 → 审查通过后输出。01在本库最高优先；有效法律和院内制度约束临床执行，均不能要求编造事实。经核实事实高于模板；纠正需保留来源和修订链，不以新消息自动覆盖冲突。</w:t>
      </w:r>
    </w:p>
    <w:p>
      <w:bookmarkStart w:id="4" w:name="S0004"/>
      <w:pPr>
        <w:pStyle w:val="Heading1"/>
      </w:pPr>
      <w:r>
        <w:t>20模块职责及边界</w:t>
      </w:r>
      <w:bookmarkEnd w:id="4"/>
    </w:p>
    <w:p>
      <w:bookmarkStart w:id="5" w:name="S0005"/>
      <w:pPr>
        <w:pStyle w:val="Heading2"/>
      </w:pPr>
      <w:r>
        <w:t>00 儿科AI病历系统总入口与模块调用索引</w:t>
      </w:r>
      <w:bookmarkEnd w:id="5"/>
    </w:p>
    <w:p>
      <w:r>
        <w:rPr>
          <w:b w:val="0"/>
        </w:rPr>
        <w:t xml:space="preserve">层级：1。职责：唯一入口，识别任务、建立三级索引、调度最小充分模块并触发终审。 </w:t>
      </w:r>
      <w:hyperlink r:id="rId11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6" w:name="S0006"/>
      <w:pPr>
        <w:pStyle w:val="Heading2"/>
      </w:pPr>
      <w:r>
        <w:t>01 儿科病历书写助手最高执行指令</w:t>
      </w:r>
      <w:bookmarkEnd w:id="6"/>
    </w:p>
    <w:p>
      <w:r>
        <w:rPr>
          <w:b w:val="0"/>
        </w:rPr>
        <w:t xml:space="preserve">层级：1。职责：全系统最高事实和输出约束，规定年龄、监护来源、证据、治疗执行与权限边界。 </w:t>
      </w:r>
      <w:hyperlink r:id="rId12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7" w:name="S0007"/>
      <w:pPr>
        <w:pStyle w:val="Heading2"/>
      </w:pPr>
      <w:r>
        <w:t>02 儿科基础医学文书新生儿记录与通用病程模板库</w:t>
      </w:r>
      <w:bookmarkEnd w:id="7"/>
    </w:p>
    <w:p>
      <w:r>
        <w:rPr>
          <w:b w:val="0"/>
        </w:rPr>
        <w:t xml:space="preserve">层级：2。职责：44类任务的资料门槛和完整文书骨架，普通儿科、新生儿、早产儿及NICU分别建模。 </w:t>
      </w:r>
      <w:hyperlink r:id="rId13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8" w:name="S0008"/>
      <w:pPr>
        <w:pStyle w:val="Heading2"/>
      </w:pPr>
      <w:r>
        <w:t>03 儿科专科检查年龄生长发育及营养状态评估模板库</w:t>
      </w:r>
      <w:bookmarkEnd w:id="8"/>
    </w:p>
    <w:p>
      <w:r>
        <w:rPr>
          <w:b w:val="0"/>
        </w:rPr>
        <w:t xml:space="preserve">层级：2。职责：按年龄核对实查、生命体征、生长和发育；不以未查替代阴性。 </w:t>
      </w:r>
      <w:hyperlink r:id="rId14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9" w:name="S0009"/>
      <w:pPr>
        <w:pStyle w:val="Heading2"/>
      </w:pPr>
      <w:r>
        <w:t>04 儿科检验影像病原学遗传代谢及特殊检查分析模板库</w:t>
      </w:r>
      <w:bookmarkEnd w:id="9"/>
    </w:p>
    <w:p>
      <w:r>
        <w:rPr>
          <w:b w:val="0"/>
        </w:rPr>
        <w:t xml:space="preserve">层级：2。职责：保存检验影像病原遗传原文，再独立分析年龄适用性和诊断证据。 </w:t>
      </w:r>
      <w:hyperlink r:id="rId15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10" w:name="S0010"/>
      <w:pPr>
        <w:pStyle w:val="Heading2"/>
      </w:pPr>
      <w:r>
        <w:t>05 儿科常见诊疗操作呼吸支持及围操作期医学文书模板库</w:t>
      </w:r>
      <w:bookmarkEnd w:id="10"/>
    </w:p>
    <w:p>
      <w:r>
        <w:rPr>
          <w:b w:val="0"/>
        </w:rPr>
        <w:t xml:space="preserve">层级：2。职责：记录操作、呼吸支持和设备全生命周期，保留事件时点与真实参数。 </w:t>
      </w:r>
      <w:hyperlink r:id="rId16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11" w:name="S0011"/>
      <w:pPr>
        <w:pStyle w:val="Heading2"/>
      </w:pPr>
      <w:r>
        <w:t>06 儿科急危重症NICU与PICU异常病情及抢救模板库</w:t>
      </w:r>
      <w:bookmarkEnd w:id="11"/>
    </w:p>
    <w:p>
      <w:r>
        <w:rPr>
          <w:b w:val="0"/>
        </w:rPr>
        <w:t xml:space="preserve">层级：2。职责：急危重症和NICU/PICU事件链，现场救治优先于文字整理。 </w:t>
      </w:r>
      <w:hyperlink r:id="rId17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12" w:name="S0012"/>
      <w:pPr>
        <w:pStyle w:val="Heading2"/>
      </w:pPr>
      <w:r>
        <w:t>07 儿科合理用药液体营养治疗及医嘱表达规则库</w:t>
      </w:r>
      <w:bookmarkEnd w:id="12"/>
    </w:p>
    <w:p>
      <w:r>
        <w:rPr>
          <w:b w:val="0"/>
        </w:rPr>
        <w:t xml:space="preserve">层级：2。职责：审核儿童剂量、单位、体重时点、制剂浓度与液体营养执行状态。 </w:t>
      </w:r>
      <w:hyperlink r:id="rId18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13" w:name="S0013"/>
      <w:pPr>
        <w:pStyle w:val="Heading2"/>
      </w:pPr>
      <w:r>
        <w:t>08 儿科三级医师查房决策与层级表达模板库</w:t>
      </w:r>
      <w:bookmarkEnd w:id="13"/>
    </w:p>
    <w:p>
      <w:r>
        <w:rPr>
          <w:b w:val="0"/>
        </w:rPr>
        <w:t xml:space="preserve">层级：2。职责：30种场景下主治、副主任和主任的实际决策层级表达。 </w:t>
      </w:r>
      <w:hyperlink r:id="rId19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14" w:name="S0014"/>
      <w:pPr>
        <w:pStyle w:val="Heading2"/>
      </w:pPr>
      <w:r>
        <w:t>09 儿科喂养生长发育康复出院及长期随访模板库</w:t>
      </w:r>
      <w:bookmarkEnd w:id="14"/>
    </w:p>
    <w:p>
      <w:r>
        <w:rPr>
          <w:b w:val="0"/>
        </w:rPr>
        <w:t xml:space="preserve">层级：2。职责：喂养、康复、出院核对、家庭教育及长期生长发育转衔。 </w:t>
      </w:r>
      <w:hyperlink r:id="rId20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15" w:name="S0015"/>
      <w:pPr>
        <w:pStyle w:val="Heading2"/>
      </w:pPr>
      <w:r>
        <w:t>10 儿科病历最终质控诊断修正及时间轴一致性审查库</w:t>
      </w:r>
      <w:bookmarkEnd w:id="15"/>
    </w:p>
    <w:p>
      <w:r>
        <w:rPr>
          <w:b w:val="0"/>
        </w:rPr>
        <w:t xml:space="preserve">层级：2。职责：每份文书的最终闸门，56项质控及规则级虚构病例验收。 </w:t>
      </w:r>
      <w:hyperlink r:id="rId21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16" w:name="S0016"/>
      <w:pPr>
        <w:pStyle w:val="Heading2"/>
      </w:pPr>
      <w:r>
        <w:t>11 儿科AI自动调用路由与患儿病例状态管理规则库</w:t>
      </w:r>
      <w:bookmarkEnd w:id="16"/>
    </w:p>
    <w:p>
      <w:r>
        <w:rPr>
          <w:b w:val="0"/>
        </w:rPr>
        <w:t xml:space="preserve">层级：2。职责：患者、住院、出生、资料、治疗、设备与病例版本的事件化状态和自然语言路由。 </w:t>
      </w:r>
      <w:hyperlink r:id="rId22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17" w:name="S0017"/>
      <w:pPr>
        <w:pStyle w:val="Heading2"/>
      </w:pPr>
      <w:r>
        <w:t>101 新生儿常见疾病早产儿及NICU专病模板库</w:t>
      </w:r>
      <w:bookmarkEnd w:id="17"/>
    </w:p>
    <w:p>
      <w:r>
        <w:rPr>
          <w:b w:val="0"/>
        </w:rPr>
        <w:t xml:space="preserve">层级：3。职责：对应亚专科的独立证据、诊断分析和文书全流程。 </w:t>
      </w:r>
      <w:hyperlink r:id="rId23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18" w:name="S0018"/>
      <w:pPr>
        <w:pStyle w:val="Heading2"/>
      </w:pPr>
      <w:r>
        <w:t>102 儿童呼吸系统疾病及过敏性疾病专病模板库</w:t>
      </w:r>
      <w:bookmarkEnd w:id="18"/>
    </w:p>
    <w:p>
      <w:r>
        <w:rPr>
          <w:b w:val="0"/>
        </w:rPr>
        <w:t xml:space="preserve">层级：3。职责：对应亚专科的独立证据、诊断分析和文书全流程。 </w:t>
      </w:r>
      <w:hyperlink r:id="rId24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19" w:name="S0019"/>
      <w:pPr>
        <w:pStyle w:val="Heading2"/>
      </w:pPr>
      <w:r>
        <w:t>103 儿童感染性疾病传染病及感染相关急症模板库</w:t>
      </w:r>
      <w:bookmarkEnd w:id="19"/>
    </w:p>
    <w:p>
      <w:r>
        <w:rPr>
          <w:b w:val="0"/>
        </w:rPr>
        <w:t xml:space="preserve">层级：3。职责：对应亚专科的独立证据、诊断分析和文书全流程。 </w:t>
      </w:r>
      <w:hyperlink r:id="rId25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20" w:name="S0020"/>
      <w:pPr>
        <w:pStyle w:val="Heading2"/>
      </w:pPr>
      <w:r>
        <w:t>104 儿童消化肝胆营养及喂养障碍专病模板库</w:t>
      </w:r>
      <w:bookmarkEnd w:id="20"/>
    </w:p>
    <w:p>
      <w:r>
        <w:rPr>
          <w:b w:val="0"/>
        </w:rPr>
        <w:t xml:space="preserve">层级：3。职责：对应亚专科的独立证据、诊断分析和文书全流程。 </w:t>
      </w:r>
      <w:hyperlink r:id="rId26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21" w:name="S0021"/>
      <w:pPr>
        <w:pStyle w:val="Heading2"/>
      </w:pPr>
      <w:r>
        <w:t>105 儿童心血管肾脏泌尿及水电解质疾病模板库</w:t>
      </w:r>
      <w:bookmarkEnd w:id="21"/>
    </w:p>
    <w:p>
      <w:r>
        <w:rPr>
          <w:b w:val="0"/>
        </w:rPr>
        <w:t xml:space="preserve">层级：3。职责：对应亚专科的独立证据、诊断分析和文书全流程。 </w:t>
      </w:r>
      <w:hyperlink r:id="rId27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22" w:name="S0022"/>
      <w:pPr>
        <w:pStyle w:val="Heading2"/>
      </w:pPr>
      <w:r>
        <w:t>106 儿童神经系统癫痫及发育行为疾病模板库</w:t>
      </w:r>
      <w:bookmarkEnd w:id="22"/>
    </w:p>
    <w:p>
      <w:r>
        <w:rPr>
          <w:b w:val="0"/>
        </w:rPr>
        <w:t xml:space="preserve">层级：3。职责：对应亚专科的独立证据、诊断分析和文书全流程。 </w:t>
      </w:r>
      <w:hyperlink r:id="rId28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23" w:name="S0023"/>
      <w:pPr>
        <w:pStyle w:val="Heading2"/>
      </w:pPr>
      <w:r>
        <w:t>107 儿童血液肿瘤免疫缺陷及风湿性疾病模板库</w:t>
      </w:r>
      <w:bookmarkEnd w:id="23"/>
    </w:p>
    <w:p>
      <w:r>
        <w:rPr>
          <w:b w:val="0"/>
        </w:rPr>
        <w:t xml:space="preserve">层级：3。职责：对应亚专科的独立证据、诊断分析和文书全流程。 </w:t>
      </w:r>
      <w:hyperlink r:id="rId29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24" w:name="S0024"/>
      <w:pPr>
        <w:pStyle w:val="Heading2"/>
      </w:pPr>
      <w:r>
        <w:t>108 儿童内分泌遗传代谢及生长障碍专病模板库</w:t>
      </w:r>
      <w:bookmarkEnd w:id="24"/>
    </w:p>
    <w:p>
      <w:r>
        <w:rPr>
          <w:b w:val="0"/>
        </w:rPr>
        <w:t xml:space="preserve">层级：3。职责：对应亚专科的独立证据、诊断分析和文书全流程。 </w:t>
      </w:r>
      <w:hyperlink r:id="rId30">
        <w:r>
          <w:rPr>
            <w:color w:val="000000"/>
          </w:rPr>
          <w:t>打开Word</w:t>
        </w:r>
      </w:hyperlink>
      <w:r>
        <w:rPr>
          <w:b w:val="0"/>
        </w:rPr>
        <w:t>。03只记录实际评估，04不修改报告原文，05不推定操作，07不代下医嘱，10不替代医师审核。</w:t>
      </w:r>
    </w:p>
    <w:p>
      <w:bookmarkStart w:id="25" w:name="S0025"/>
      <w:pPr>
        <w:pStyle w:val="Heading1"/>
      </w:pPr>
      <w:r>
        <w:t>输入识别与最小资料</w:t>
      </w:r>
      <w:bookmarkEnd w:id="25"/>
    </w:p>
    <w:p>
      <w:r>
        <w:rPr>
          <w:b w:val="0"/>
        </w:rPr>
        <w:t>先识别患者及本次住院、目标文书时点和类型、出生日期时刻、胎龄、实际年龄及年龄分期、当前实测和给药体重及日期、身长头围、性别、监护来源、主要问题、器械和治疗状态。新生儿建立独立身份并关联出生事件，多胞胎需各自标识。NICU患儿超过新生儿日龄仍可按疾病和实际收治状态调用101，不篡改实际年龄。年龄不明但急危可先整理真实事件，不能等待补齐病史而延误现场救治。</w:t>
      </w:r>
    </w:p>
    <w:p>
      <w:bookmarkStart w:id="26" w:name="S0026"/>
      <w:pPr>
        <w:pStyle w:val="Heading1"/>
      </w:pPr>
      <w:r>
        <w:t>自然语言自动调用表</w:t>
      </w:r>
      <w:bookmarkEnd w:id="26"/>
    </w:p>
    <w:p>
      <w:r>
        <w:rPr>
          <w:b w:val="0"/>
        </w:rPr>
        <w:t>新生儿高胆红素血症首次病程：00 → 01 → 11 → 02＋03＋04＋101 → 10。</w:t>
      </w:r>
    </w:p>
    <w:p>
      <w:r>
        <w:rPr>
          <w:b w:val="0"/>
        </w:rPr>
        <w:t>早产儿NICU主任医师查房：00 → 01 → 11 → 02＋03＋04＋05＋08＋101 → 10。</w:t>
      </w:r>
    </w:p>
    <w:p>
      <w:r>
        <w:rPr>
          <w:b w:val="0"/>
        </w:rPr>
        <w:t>儿童肺炎首次病程：00 → 01 → 11 → 02＋03＋04＋102 → 10。</w:t>
      </w:r>
    </w:p>
    <w:p>
      <w:r>
        <w:rPr>
          <w:b w:val="0"/>
        </w:rPr>
        <w:t>儿童哮喘急性发作查房：00 → 01 → 11 → 02＋04＋07＋08＋102 → 10。</w:t>
      </w:r>
    </w:p>
    <w:p>
      <w:r>
        <w:rPr>
          <w:b w:val="0"/>
        </w:rPr>
        <w:t>发热待查及病原回报：00 → 01 → 11 → 02＋04＋103 → 10。</w:t>
      </w:r>
    </w:p>
    <w:p>
      <w:r>
        <w:rPr>
          <w:b w:val="0"/>
        </w:rPr>
        <w:t>急性腹泻合并脱水：00 → 01 → 11 → 02＋03＋04＋07＋104 → 10。</w:t>
      </w:r>
    </w:p>
    <w:p>
      <w:r>
        <w:rPr>
          <w:b w:val="0"/>
        </w:rPr>
        <w:t>先天性心脏病主任查房：00 → 01 → 11 → 02＋04＋08＋105 → 10。</w:t>
      </w:r>
    </w:p>
    <w:p>
      <w:r>
        <w:rPr>
          <w:b w:val="0"/>
        </w:rPr>
        <w:t>肾病综合征首次病程：00 → 01 → 11 → 02＋04＋105 → 10。</w:t>
      </w:r>
    </w:p>
    <w:p>
      <w:r>
        <w:rPr>
          <w:b w:val="0"/>
        </w:rPr>
        <w:t>惊厥持续状态抢救：00 → 01 → 11 → 02＋04＋06＋106 → 10。</w:t>
      </w:r>
    </w:p>
    <w:p>
      <w:r>
        <w:rPr>
          <w:b w:val="0"/>
        </w:rPr>
        <w:t>白血病病理回报及诊断修正：00 → 01 → 11 → 02＋04＋107 → 10。</w:t>
      </w:r>
    </w:p>
    <w:p>
      <w:r>
        <w:rPr>
          <w:b w:val="0"/>
        </w:rPr>
        <w:t>DKA危重病程：00 → 01 → 11 → 02＋04＋06＋07＋108 → 10。</w:t>
      </w:r>
    </w:p>
    <w:p>
      <w:r>
        <w:rPr>
          <w:b w:val="0"/>
        </w:rPr>
        <w:t>儿科出院记录：00 → 01 → 11 → 02＋07＋09＋相关专病 → 10。</w:t>
      </w:r>
    </w:p>
    <w:p>
      <w:bookmarkStart w:id="27" w:name="S0027"/>
      <w:pPr>
        <w:pStyle w:val="Heading1"/>
      </w:pPr>
      <w:r>
        <w:t>跨科与多问题边界</w:t>
      </w:r>
      <w:bookmarkEnd w:id="27"/>
    </w:p>
    <w:p>
      <w:r>
        <w:rPr>
          <w:b w:val="0"/>
        </w:rPr>
        <w:t>先确定主病及需要解决的问题，再联合相关模块。新生儿黄疸101与04，心肌炎105与06，脑膜炎103与106，营养与生长104与108，肾病免疫治疗105与107。105心血管、肾脏章节分别推理；107血液、肿瘤、免疫风湿各自保留证据。母体数据只用于可追溯围产背景，不计入患儿生命体征或给药；同一住院内多病种不重复累计液体与药物。</w:t>
      </w:r>
    </w:p>
    <w:p>
      <w:bookmarkStart w:id="28" w:name="S0028"/>
      <w:pPr>
        <w:pStyle w:val="Heading1"/>
      </w:pPr>
      <w:r>
        <w:t>模块缺失与调用失败</w:t>
      </w:r>
      <w:bookmarkEnd w:id="28"/>
    </w:p>
    <w:p>
      <w:r>
        <w:rPr>
          <w:b w:val="0"/>
        </w:rPr>
        <w:t>不能读取模块时，说明缺失编号和受影响工作；可整理已有事实，不能声称调用成功。用自然语言描述任务即可，无需逐次指定所有编号。首轮选择的模块和未决问题可在框外简述，正式正文只保留医学记录。</w:t>
      </w:r>
    </w:p>
    <w:p>
      <w:bookmarkStart w:id="29" w:name="S0029"/>
      <w:pPr>
        <w:pStyle w:val="Heading1"/>
      </w:pPr>
      <w:r>
        <w:t>完整虚构病例与输出示例</w:t>
      </w:r>
      <w:bookmarkEnd w:id="29"/>
    </w:p>
    <w:p>
      <w:r>
        <w:rPr>
          <w:b w:val="0"/>
        </w:rPr>
        <w:t>本节所有标识、病史、检查、医师意见和事件均为人工构造，禁止作为真实患者输入的默认值。该病例完整呈现已知和未知资料，不用虚构正常来填满系统项目。</w:t>
      </w:r>
    </w:p>
    <w:p>
      <w:r>
        <w:rPr>
          <w:b w:val="0"/>
        </w:rPr>
        <w:t>病例标识：SIM-P01；本次住院：SIM-E01。目标文书时点：2026-10-30T11:00:00+08:00。出生：2026-10-28T11:00:00+08:00；胎龄：38周0天。实际体重：3.0kg，测量时间2026-10-30T08:00:00+08:00。年龄由出生及目标时点计算；不以模拟叙事替代时间计算。</w:t>
      </w:r>
    </w:p>
    <w:p>
      <w:r>
        <w:rPr>
          <w:b w:val="0"/>
        </w:rPr>
        <w:t>来源：虚构母亲提供病史；虚构医师记录本次实查与计划；虚构检查报告仅限下述已给内容。既往史、出生围产细节、接种、过敏和家族史未给项均标未提供；未询问不能写否认。生长发育：未提供纵向测量，不赋百分位。未给药物浓度、给药执行、完整出入量、设备参数、操作或签署均未知，不自动补齐。</w:t>
      </w:r>
    </w:p>
    <w:p>
      <w:r>
        <w:rPr>
          <w:b w:val="0"/>
        </w:rPr>
        <w:t>病史及当前临床资料：患儿生后48小时，出生胎龄38周，血清总胆红素220μmol/L，采样时点已核。当前需结合适用阈值图评估，尚无光疗执行证据。</w:t>
      </w:r>
    </w:p>
    <w:p>
      <w:r>
        <w:rPr>
          <w:b w:val="0"/>
        </w:rPr>
        <w:t>诊断证据及处置：保留给定医师判断的确定度，不由执行器新增诊断；已有执行与计划按来源分层。风险、鉴别及监测围绕本模块任务展开，需真实医师确认的项目不反推已完成。随访未定的项目指定实际临床接收人后方可成稿。</w:t>
      </w:r>
    </w:p>
    <w:p>
      <w:r>
        <w:rPr>
          <w:b w:val="0"/>
        </w:rPr>
        <w:t>调用：00→01→11→02→03→04→101→10。模拟结果仅演示事实和格式；实际患者需重新运行10。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患儿生后48小时，出生胎龄38周，血清总胆红素220μmol/L，采样时点已核。当前需结合适用阈值图评估，尚无光疗执行证据。</w:t>
      </w:r>
    </w:p>
    <w:p>
      <w:pPr>
        <w:pStyle w:val="CodeText"/>
      </w:pPr>
      <w:r>
        <w:t>```</w:t>
      </w:r>
    </w:p>
    <w:p>
      <w:bookmarkStart w:id="30" w:name="S0030"/>
      <w:pPr>
        <w:pStyle w:val="Heading1"/>
      </w:pPr>
      <w:r>
        <w:t>医学真实性边界 常见错误与模块协同</w:t>
      </w:r>
      <w:bookmarkEnd w:id="30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常见错误：实际年龄与胎龄混用、出生体重当当前体重、未查自动正常、病原检出直接病因确证、筛查或VUS当疾病确诊、计划当执行、旧住院当本次、母体检查当新生儿、未来结果写入旧病程、虚构沟通及上级意见。</w:t>
      </w:r>
    </w:p>
    <w:p>
      <w:r>
        <w:rPr>
          <w:b w:val="0"/>
        </w:rPr>
        <w:t>每次固定00→01→11，按需02至09和101至108，最后10。检查03的年龄测量、04的原文分析、05的操作设备、06的急变、07的执行、08的实际层级、09的家庭随访；各自不能越界代写。模块之间用编号定位和真实事件关联，不靠对话顺序自动合并。</w:t>
      </w:r>
    </w:p>
    <w:p>
      <w:bookmarkStart w:id="31" w:name="S0031"/>
      <w:pPr>
        <w:pStyle w:val="Heading1"/>
      </w:pPr>
      <w:r>
        <w:t>模块质量控制清单</w:t>
      </w:r>
      <w:bookmarkEnd w:id="31"/>
    </w:p>
    <w:p>
      <w:r>
        <w:rPr>
          <w:b w:val="0"/>
        </w:rPr>
        <w:t>核患者及住院、信息来源与时间；核出生日期胎龄日小时龄、测量和给药体重；核实际查体、参考人群、诊断证据与确定度；核药物单位浓度执行、液体营养统计、支持设备操作状态；核抢救事件、沟通医师真实意见、出院与随访责任；核代码框和单段。发现严重冲突暂停受影响正文并说明证据缺口。</w:t>
      </w:r>
    </w:p>
    <w:p>
      <w:bookmarkStart w:id="32" w:name="S0032"/>
      <w:pPr>
        <w:pStyle w:val="Heading1"/>
      </w:pPr>
      <w:r>
        <w:t>指南规范及证据来源</w:t>
      </w:r>
      <w:bookmarkEnd w:id="32"/>
    </w:p>
    <w:p>
      <w:r>
        <w:rPr>
          <w:b w:val="0"/>
        </w:rPr>
        <w:t>本文件来源核验日期为2026年10月30日，核验范围逐项注明。正式指南、专家共识、诊疗建议、管理通知和试行规范分别标识；未全文核验的阈值、剂量和推荐等级不启用。不把公开征求意见稿、制订计划或解读当作正式临床依据；国际来源须核中国批准信息和本院制度。检索未见更新不表示已证明绝对最新。</w:t>
      </w:r>
    </w:p>
    <w:p>
      <w:bookmarkStart w:id="33" w:name="S0033"/>
      <w:pPr>
        <w:pStyle w:val="Heading2"/>
      </w:pPr>
      <w:r>
        <w:t>R01 病历书写基本规范</w:t>
      </w:r>
      <w:bookmarkEnd w:id="33"/>
    </w:p>
    <w:p>
      <w:r>
        <w:rPr>
          <w:b w:val="0"/>
        </w:rPr>
        <w:t>发布机构：卫生部。正式年份及实际版本：2010 卫医政发〔2010〕11号。资料性质：行政规范。适用年龄和人群：全部住院患儿。本次核验范围：官方正文。可用关键证据及限制：客观真实及时完整；实际记录时点与临床事件时点分别保留。 核验日期：2026年10月30日。</w:t>
      </w:r>
      <w:hyperlink r:id="rId31">
        <w:r>
          <w:rPr>
            <w:color w:val="000000"/>
          </w:rPr>
          <w:t>原始来源或发布页</w:t>
        </w:r>
      </w:hyperlink>
    </w:p>
    <w:p>
      <w:bookmarkStart w:id="34" w:name="S0034"/>
      <w:pPr>
        <w:pStyle w:val="Heading2"/>
      </w:pPr>
      <w:r>
        <w:t>R02 医疗质量安全核心制度要点</w:t>
      </w:r>
      <w:bookmarkEnd w:id="34"/>
    </w:p>
    <w:p>
      <w:r>
        <w:rPr>
          <w:b w:val="0"/>
        </w:rPr>
        <w:t>发布机构：国家卫生健康委。正式年份及实际版本：2018 国卫医发〔2018〕8号。资料性质：管理制度。适用年龄和人群：医疗机构。本次核验范围：官方正文。可用关键证据及限制：三级查房、会诊、交接、危急值及病历管理按本院落实流程执行。 核验日期：2026年10月30日。</w:t>
      </w:r>
      <w:hyperlink r:id="rId32">
        <w:r>
          <w:rPr>
            <w:color w:val="000000"/>
          </w:rPr>
          <w:t>原始来源或发布页</w:t>
        </w:r>
      </w:hyperlink>
    </w:p>
    <w:p>
      <w:bookmarkStart w:id="35" w:name="S0035"/>
      <w:pPr>
        <w:pStyle w:val="Heading2"/>
      </w:pPr>
      <w:r>
        <w:t>R31 关于进一步加强儿童临床用药管理工作的通知</w:t>
      </w:r>
      <w:bookmarkEnd w:id="35"/>
    </w:p>
    <w:p>
      <w:r>
        <w:rPr>
          <w:b w:val="0"/>
        </w:rPr>
        <w:t>发布机构：国家卫生健康委办公厅。正式年份及实际版本：2023 国卫办医政函〔2023〕11号。资料性质：管理通知。适用年龄和人群：开展儿科服务的医疗机构。本次核验范围：官方全文。可用关键证据及限制：医师处方、药师审方、护士给药各环节核对，超说明书用药按法定情形和院内制度管理。 核验日期：2026年10月30日。</w:t>
      </w:r>
      <w:hyperlink r:id="rId33">
        <w:r>
          <w:rPr>
            <w:color w:val="000000"/>
          </w:rPr>
          <w:t>原始来源或发布页</w:t>
        </w:r>
      </w:hyperlink>
    </w:p>
    <w:p>
      <w:bookmarkStart w:id="36" w:name="S0036"/>
      <w:pPr>
        <w:pStyle w:val="Heading2"/>
      </w:pPr>
      <w:r>
        <w:t>尚待补齐的来源</w:t>
      </w:r>
      <w:bookmarkEnd w:id="36"/>
    </w:p>
    <w:p>
      <w:r>
        <w:rPr>
          <w:b w:val="0"/>
        </w:rPr>
        <w:t>医院有效制度、收治年龄范围、危急值标准、各药品说明书和制剂浓度目录、操作授权及科室特定诊疗路径尚未提供；不虚构医院名称、制度编号或审批完成。许多罕见病、先心病亚型、肿瘤方案、风湿及遗传内分泌专病的直接全文未逐病核验，此版仅启用定性书写提示和证据门槛。使用具体阈值或方案前必须补充正式原文并经实际专科医师审核。</w:t>
      </w:r>
    </w:p>
    <w:p>
      <w:bookmarkStart w:id="37" w:name="S0037"/>
      <w:pPr>
        <w:pStyle w:val="Heading1"/>
      </w:pPr>
      <w:r>
        <w:t>版本更新与维护说明</w:t>
      </w:r>
      <w:bookmarkEnd w:id="37"/>
    </w:p>
    <w:p>
      <w:r>
        <w:rPr>
          <w:b w:val="0"/>
        </w:rPr>
        <w:t>版本V1.0，编制与公开来源核验日期2026年10月30日。维护时记录变更原因、涉及模块、来源版本、审核者和测试范围；重要指南、说明书、警戒或院内流程变更立即复核。建议季度检查链接及版本，频率为本库维护建议而非国家强制。新阈值或剂量只有在原始全文、适用人群、推荐内容和院内审核齐全后启用。未取得医院名称、制度编号、收治年龄、药品目录、危急值与操作权限文件，故院内适配未完成；不得宣称全院临床验收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儿科AI病历书写系统 V1.0　模块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widowControl/>
      <w:spacing w:line="264" w:lineRule="auto" w:after="20"/>
    </w:pPr>
    <w:rPr>
      <w:rFonts w:ascii="Menlo" w:hAnsi="Menlo" w:eastAsia="Arial Unicode M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0_&#20799;&#31185;AI&#30149;&#21382;&#31995;&#32479;&#24635;&#20837;&#21475;&#19982;&#27169;&#22359;&#35843;&#29992;&#32034;&#24341;.docx" TargetMode="External"/><Relationship Id="rId12" Type="http://schemas.openxmlformats.org/officeDocument/2006/relationships/hyperlink" Target="01_&#20799;&#31185;&#30149;&#21382;&#20070;&#20889;&#21161;&#25163;&#26368;&#39640;&#25191;&#34892;&#25351;&#20196;.docx" TargetMode="External"/><Relationship Id="rId13" Type="http://schemas.openxmlformats.org/officeDocument/2006/relationships/hyperlink" Target="02_&#20799;&#31185;&#22522;&#30784;&#21307;&#23398;&#25991;&#20070;&#26032;&#29983;&#20799;&#35760;&#24405;&#19982;&#36890;&#29992;&#30149;&#31243;&#27169;&#26495;&#24211;.docx" TargetMode="External"/><Relationship Id="rId14" Type="http://schemas.openxmlformats.org/officeDocument/2006/relationships/hyperlink" Target="03_&#20799;&#31185;&#19987;&#31185;&#26816;&#26597;&#24180;&#40836;&#29983;&#38271;&#21457;&#32946;&#21450;&#33829;&#20859;&#29366;&#24577;&#35780;&#20272;&#27169;&#26495;&#24211;.docx" TargetMode="External"/><Relationship Id="rId15" Type="http://schemas.openxmlformats.org/officeDocument/2006/relationships/hyperlink" Target="04_&#20799;&#31185;&#26816;&#39564;&#24433;&#20687;&#30149;&#21407;&#23398;&#36951;&#20256;&#20195;&#35874;&#21450;&#29305;&#27530;&#26816;&#26597;&#20998;&#26512;&#27169;&#26495;&#24211;.docx" TargetMode="External"/><Relationship Id="rId16" Type="http://schemas.openxmlformats.org/officeDocument/2006/relationships/hyperlink" Target="05_&#20799;&#31185;&#24120;&#35265;&#35786;&#30103;&#25805;&#20316;&#21628;&#21560;&#25903;&#25345;&#21450;&#22260;&#25805;&#20316;&#26399;&#21307;&#23398;&#25991;&#20070;&#27169;&#26495;&#24211;.docx" TargetMode="External"/><Relationship Id="rId17" Type="http://schemas.openxmlformats.org/officeDocument/2006/relationships/hyperlink" Target="06_&#20799;&#31185;&#24613;&#21361;&#37325;&#30151;NICU&#19982;PICU&#24322;&#24120;&#30149;&#24773;&#21450;&#25250;&#25937;&#27169;&#26495;&#24211;.docx" TargetMode="External"/><Relationship Id="rId18" Type="http://schemas.openxmlformats.org/officeDocument/2006/relationships/hyperlink" Target="07_&#20799;&#31185;&#21512;&#29702;&#29992;&#33647;&#28082;&#20307;&#33829;&#20859;&#27835;&#30103;&#21450;&#21307;&#22065;&#34920;&#36798;&#35268;&#21017;&#24211;.docx" TargetMode="External"/><Relationship Id="rId19" Type="http://schemas.openxmlformats.org/officeDocument/2006/relationships/hyperlink" Target="08_&#20799;&#31185;&#19977;&#32423;&#21307;&#24072;&#26597;&#25151;&#20915;&#31574;&#19982;&#23618;&#32423;&#34920;&#36798;&#27169;&#26495;&#24211;.docx" TargetMode="External"/><Relationship Id="rId20" Type="http://schemas.openxmlformats.org/officeDocument/2006/relationships/hyperlink" Target="09_&#20799;&#31185;&#21890;&#20859;&#29983;&#38271;&#21457;&#32946;&#24247;&#22797;&#20986;&#38498;&#21450;&#38271;&#26399;&#38543;&#35775;&#27169;&#26495;&#24211;.docx" TargetMode="External"/><Relationship Id="rId21" Type="http://schemas.openxmlformats.org/officeDocument/2006/relationships/hyperlink" Target="10_&#20799;&#31185;&#30149;&#21382;&#26368;&#32456;&#36136;&#25511;&#35786;&#26029;&#20462;&#27491;&#21450;&#26102;&#38388;&#36724;&#19968;&#33268;&#24615;&#23457;&#26597;&#24211;.docx" TargetMode="External"/><Relationship Id="rId22" Type="http://schemas.openxmlformats.org/officeDocument/2006/relationships/hyperlink" Target="11_&#20799;&#31185;AI&#33258;&#21160;&#35843;&#29992;&#36335;&#30001;&#19982;&#24739;&#20799;&#30149;&#20363;&#29366;&#24577;&#31649;&#29702;&#35268;&#21017;&#24211;.docx" TargetMode="External"/><Relationship Id="rId23" Type="http://schemas.openxmlformats.org/officeDocument/2006/relationships/hyperlink" Target="101_&#26032;&#29983;&#20799;&#24120;&#35265;&#30142;&#30149;&#26089;&#20135;&#20799;&#21450;NICU&#19987;&#30149;&#27169;&#26495;&#24211;.docx" TargetMode="External"/><Relationship Id="rId24" Type="http://schemas.openxmlformats.org/officeDocument/2006/relationships/hyperlink" Target="102_&#20799;&#31461;&#21628;&#21560;&#31995;&#32479;&#30142;&#30149;&#21450;&#36807;&#25935;&#24615;&#30142;&#30149;&#19987;&#30149;&#27169;&#26495;&#24211;.docx" TargetMode="External"/><Relationship Id="rId25" Type="http://schemas.openxmlformats.org/officeDocument/2006/relationships/hyperlink" Target="103_&#20799;&#31461;&#24863;&#26579;&#24615;&#30142;&#30149;&#20256;&#26579;&#30149;&#21450;&#24863;&#26579;&#30456;&#20851;&#24613;&#30151;&#27169;&#26495;&#24211;.docx" TargetMode="External"/><Relationship Id="rId26" Type="http://schemas.openxmlformats.org/officeDocument/2006/relationships/hyperlink" Target="104_&#20799;&#31461;&#28040;&#21270;&#32925;&#32966;&#33829;&#20859;&#21450;&#21890;&#20859;&#38556;&#30861;&#19987;&#30149;&#27169;&#26495;&#24211;.docx" TargetMode="External"/><Relationship Id="rId27" Type="http://schemas.openxmlformats.org/officeDocument/2006/relationships/hyperlink" Target="105_&#20799;&#31461;&#24515;&#34880;&#31649;&#32958;&#33039;&#27852;&#23615;&#21450;&#27700;&#30005;&#35299;&#36136;&#30142;&#30149;&#27169;&#26495;&#24211;.docx" TargetMode="External"/><Relationship Id="rId28" Type="http://schemas.openxmlformats.org/officeDocument/2006/relationships/hyperlink" Target="106_&#20799;&#31461;&#31070;&#32463;&#31995;&#32479;&#30315;&#30187;&#21450;&#21457;&#32946;&#34892;&#20026;&#30142;&#30149;&#27169;&#26495;&#24211;.docx" TargetMode="External"/><Relationship Id="rId29" Type="http://schemas.openxmlformats.org/officeDocument/2006/relationships/hyperlink" Target="107_&#20799;&#31461;&#34880;&#28082;&#32959;&#30244;&#20813;&#30123;&#32570;&#38519;&#21450;&#39118;&#28287;&#24615;&#30142;&#30149;&#27169;&#26495;&#24211;.docx" TargetMode="External"/><Relationship Id="rId30" Type="http://schemas.openxmlformats.org/officeDocument/2006/relationships/hyperlink" Target="108_&#20799;&#31461;&#20869;&#20998;&#27852;&#36951;&#20256;&#20195;&#35874;&#21450;&#29983;&#38271;&#38556;&#30861;&#19987;&#30149;&#27169;&#26495;&#24211;.docx" TargetMode="External"/><Relationship Id="rId31" Type="http://schemas.openxmlformats.org/officeDocument/2006/relationships/hyperlink" Target="https://www.nhc.gov.cn/wjw/c100175/201002/b1bec53d90f243e0861529723f00221a.shtml" TargetMode="External"/><Relationship Id="rId32" Type="http://schemas.openxmlformats.org/officeDocument/2006/relationships/hyperlink" Target="https://www.nhc.gov.cn/yzygj/c100068/201804/42ab2552298047679cd6ec733f233862.shtml" TargetMode="External"/><Relationship Id="rId33" Type="http://schemas.openxmlformats.org/officeDocument/2006/relationships/hyperlink" Target="https://www.nhc.gov.cn/yzygj/c100068/202301/f9bf8d16824a463c8e11c21b56813a95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儿科AI病历系统总入口与模块调用索引</dc:title>
  <dc:subject>儿科医学文书规则库 医师审核前使用</dc:subject>
  <dc:creator>儿科病历模板库</dc:creator>
  <cp:keywords>儿科 新生儿 NICU PICU 事实溯源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