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儿科AI病历书写系统</w:t>
      </w:r>
    </w:p>
    <w:p>
      <w:pPr>
        <w:pStyle w:val="Title"/>
      </w:pPr>
      <w:r>
        <w:t>03 儿科专科检查年龄生长发育及营养状态评估模板库</w:t>
      </w:r>
    </w:p>
    <w:p>
      <w:r>
        <w:t>版本 V1.0　编制与核验日期 2026年10月30日</w:t>
      </w:r>
    </w:p>
    <w:p>
      <w:r>
        <w:t>所属层级 第2级　模块编号 03</w:t>
      </w:r>
    </w:p>
    <w:p>
      <w:r>
        <w:t>按年龄核对实查、生命体征、生长和发育；不以未查替代阴性。</w:t>
      </w:r>
    </w:p>
    <w:p>
      <w:r>
        <w:t>用于具备权限医师的拟稿 分析和质控。所有病例示例均为虚构，不进入真实患儿事实。</w:t>
      </w:r>
    </w:p>
    <w:p>
      <w:r>
        <w:t>当前交付为规则库及可读取Skill入口。未连接医院EMR，部分专病原文和本院制度仍需临床使用前核验。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S0000">
        <w:r>
          <w:rPr>
            <w:color w:val="000000"/>
          </w:rPr>
          <w:t>模块定位及调用契约</w:t>
        </w:r>
      </w:hyperlink>
    </w:p>
    <w:p>
      <w:pPr>
        <w:spacing w:after="40"/>
        <w:ind w:left="0"/>
      </w:pPr>
      <w:hyperlink w:anchor="S0001">
        <w:r>
          <w:rPr>
            <w:color w:val="000000"/>
          </w:rPr>
          <w:t>医学事实与安全契约</w:t>
        </w:r>
      </w:hyperlink>
    </w:p>
    <w:p>
      <w:pPr>
        <w:spacing w:after="40"/>
        <w:ind w:left="0"/>
      </w:pPr>
      <w:hyperlink w:anchor="S0002">
        <w:r>
          <w:rPr>
            <w:color w:val="000000"/>
          </w:rPr>
          <w:t>医学文书统一输出协议</w:t>
        </w:r>
      </w:hyperlink>
    </w:p>
    <w:p>
      <w:pPr>
        <w:spacing w:after="40"/>
        <w:ind w:left="0"/>
      </w:pPr>
      <w:hyperlink w:anchor="S0003">
        <w:r>
          <w:rPr>
            <w:color w:val="000000"/>
          </w:rPr>
          <w:t>年龄和测量数据字典</w:t>
        </w:r>
      </w:hyperlink>
    </w:p>
    <w:p>
      <w:pPr>
        <w:spacing w:after="40"/>
        <w:ind w:left="0"/>
      </w:pPr>
      <w:hyperlink w:anchor="S0004">
        <w:r>
          <w:rPr>
            <w:color w:val="000000"/>
          </w:rPr>
          <w:t>生长曲线及营养分析</w:t>
        </w:r>
      </w:hyperlink>
    </w:p>
    <w:p>
      <w:pPr>
        <w:spacing w:after="40"/>
        <w:ind w:left="0"/>
      </w:pPr>
      <w:hyperlink w:anchor="S0005">
        <w:r>
          <w:rPr>
            <w:color w:val="000000"/>
          </w:rPr>
          <w:t>年龄阶段评价规则</w:t>
        </w:r>
      </w:hyperlink>
    </w:p>
    <w:p>
      <w:pPr>
        <w:spacing w:after="40"/>
        <w:ind w:left="0"/>
      </w:pPr>
      <w:hyperlink w:anchor="S0006">
        <w:r>
          <w:rPr>
            <w:color w:val="000000"/>
          </w:rPr>
          <w:t>21项儿科实查</w:t>
        </w:r>
      </w:hyperlink>
    </w:p>
    <w:p>
      <w:pPr>
        <w:spacing w:after="40"/>
        <w:ind w:left="227"/>
      </w:pPr>
      <w:hyperlink w:anchor="S0007">
        <w:r>
          <w:rPr>
            <w:color w:val="000000"/>
          </w:rPr>
          <w:t>01 一般状态与精神反应</w:t>
        </w:r>
      </w:hyperlink>
    </w:p>
    <w:p>
      <w:pPr>
        <w:spacing w:after="40"/>
        <w:ind w:left="227"/>
      </w:pPr>
      <w:hyperlink w:anchor="S0008">
        <w:r>
          <w:rPr>
            <w:color w:val="000000"/>
          </w:rPr>
          <w:t>02 呼吸频率</w:t>
        </w:r>
      </w:hyperlink>
    </w:p>
    <w:p>
      <w:pPr>
        <w:spacing w:after="40"/>
        <w:ind w:left="227"/>
      </w:pPr>
      <w:hyperlink w:anchor="S0009">
        <w:r>
          <w:rPr>
            <w:color w:val="000000"/>
          </w:rPr>
          <w:t>03 心率</w:t>
        </w:r>
      </w:hyperlink>
    </w:p>
    <w:p>
      <w:pPr>
        <w:spacing w:after="40"/>
        <w:ind w:left="227"/>
      </w:pPr>
      <w:hyperlink w:anchor="S0010">
        <w:r>
          <w:rPr>
            <w:color w:val="000000"/>
          </w:rPr>
          <w:t>04 血压</w:t>
        </w:r>
      </w:hyperlink>
    </w:p>
    <w:p>
      <w:pPr>
        <w:spacing w:after="40"/>
        <w:ind w:left="227"/>
      </w:pPr>
      <w:hyperlink w:anchor="S0011">
        <w:r>
          <w:rPr>
            <w:color w:val="000000"/>
          </w:rPr>
          <w:t>05 体温</w:t>
        </w:r>
      </w:hyperlink>
    </w:p>
    <w:p>
      <w:pPr>
        <w:spacing w:after="40"/>
        <w:ind w:left="227"/>
      </w:pPr>
      <w:hyperlink w:anchor="S0012">
        <w:r>
          <w:rPr>
            <w:color w:val="000000"/>
          </w:rPr>
          <w:t>06 SpO2</w:t>
        </w:r>
      </w:hyperlink>
    </w:p>
    <w:p>
      <w:pPr>
        <w:spacing w:after="40"/>
        <w:ind w:left="227"/>
      </w:pPr>
      <w:hyperlink w:anchor="S0013">
        <w:r>
          <w:rPr>
            <w:color w:val="000000"/>
          </w:rPr>
          <w:t>07 皮肤黏膜</w:t>
        </w:r>
      </w:hyperlink>
    </w:p>
    <w:p>
      <w:pPr>
        <w:spacing w:after="40"/>
        <w:ind w:left="227"/>
      </w:pPr>
      <w:hyperlink w:anchor="S0014">
        <w:r>
          <w:rPr>
            <w:color w:val="000000"/>
          </w:rPr>
          <w:t>08 前囟颅部</w:t>
        </w:r>
      </w:hyperlink>
    </w:p>
    <w:p>
      <w:pPr>
        <w:spacing w:after="40"/>
        <w:ind w:left="227"/>
      </w:pPr>
      <w:hyperlink w:anchor="S0015">
        <w:r>
          <w:rPr>
            <w:color w:val="000000"/>
          </w:rPr>
          <w:t>09 口腔咽部</w:t>
        </w:r>
      </w:hyperlink>
    </w:p>
    <w:p>
      <w:pPr>
        <w:spacing w:after="40"/>
        <w:ind w:left="227"/>
      </w:pPr>
      <w:hyperlink w:anchor="S0016">
        <w:r>
          <w:rPr>
            <w:color w:val="000000"/>
          </w:rPr>
          <w:t>10 颈部</w:t>
        </w:r>
      </w:hyperlink>
    </w:p>
    <w:p>
      <w:pPr>
        <w:spacing w:after="40"/>
        <w:ind w:left="227"/>
      </w:pPr>
      <w:hyperlink w:anchor="S0017">
        <w:r>
          <w:rPr>
            <w:color w:val="000000"/>
          </w:rPr>
          <w:t>11 呼吸系统</w:t>
        </w:r>
      </w:hyperlink>
    </w:p>
    <w:p>
      <w:pPr>
        <w:spacing w:after="40"/>
        <w:ind w:left="227"/>
      </w:pPr>
      <w:hyperlink w:anchor="S0018">
        <w:r>
          <w:rPr>
            <w:color w:val="000000"/>
          </w:rPr>
          <w:t>12 心血管</w:t>
        </w:r>
      </w:hyperlink>
    </w:p>
    <w:p>
      <w:pPr>
        <w:spacing w:after="40"/>
        <w:ind w:left="227"/>
      </w:pPr>
      <w:hyperlink w:anchor="S0019">
        <w:r>
          <w:rPr>
            <w:color w:val="000000"/>
          </w:rPr>
          <w:t>13 腹部</w:t>
        </w:r>
      </w:hyperlink>
    </w:p>
    <w:p>
      <w:pPr>
        <w:spacing w:after="40"/>
        <w:ind w:left="227"/>
      </w:pPr>
      <w:hyperlink w:anchor="S0020">
        <w:r>
          <w:rPr>
            <w:color w:val="000000"/>
          </w:rPr>
          <w:t>14 肝脾</w:t>
        </w:r>
      </w:hyperlink>
    </w:p>
    <w:p>
      <w:pPr>
        <w:spacing w:after="40"/>
        <w:ind w:left="227"/>
      </w:pPr>
      <w:hyperlink w:anchor="S0021">
        <w:r>
          <w:rPr>
            <w:color w:val="000000"/>
          </w:rPr>
          <w:t>15 四肢</w:t>
        </w:r>
      </w:hyperlink>
    </w:p>
    <w:p>
      <w:pPr>
        <w:spacing w:after="40"/>
        <w:ind w:left="227"/>
      </w:pPr>
      <w:hyperlink w:anchor="S0022">
        <w:r>
          <w:rPr>
            <w:color w:val="000000"/>
          </w:rPr>
          <w:t>16 外生殖器相关</w:t>
        </w:r>
      </w:hyperlink>
    </w:p>
    <w:p>
      <w:pPr>
        <w:spacing w:after="40"/>
        <w:ind w:left="227"/>
      </w:pPr>
      <w:hyperlink w:anchor="S0023">
        <w:r>
          <w:rPr>
            <w:color w:val="000000"/>
          </w:rPr>
          <w:t>17 神经系统</w:t>
        </w:r>
      </w:hyperlink>
    </w:p>
    <w:p>
      <w:pPr>
        <w:spacing w:after="40"/>
        <w:ind w:left="227"/>
      </w:pPr>
      <w:hyperlink w:anchor="S0024">
        <w:r>
          <w:rPr>
            <w:color w:val="000000"/>
          </w:rPr>
          <w:t>18 肌张力</w:t>
        </w:r>
      </w:hyperlink>
    </w:p>
    <w:p>
      <w:pPr>
        <w:spacing w:after="40"/>
        <w:ind w:left="227"/>
      </w:pPr>
      <w:hyperlink w:anchor="S0025">
        <w:r>
          <w:rPr>
            <w:color w:val="000000"/>
          </w:rPr>
          <w:t>19 发育体征</w:t>
        </w:r>
      </w:hyperlink>
    </w:p>
    <w:p>
      <w:pPr>
        <w:spacing w:after="40"/>
        <w:ind w:left="227"/>
      </w:pPr>
      <w:hyperlink w:anchor="S0026">
        <w:r>
          <w:rPr>
            <w:color w:val="000000"/>
          </w:rPr>
          <w:t>20 喂养吞咽</w:t>
        </w:r>
      </w:hyperlink>
    </w:p>
    <w:p>
      <w:pPr>
        <w:spacing w:after="40"/>
        <w:ind w:left="227"/>
      </w:pPr>
      <w:hyperlink w:anchor="S0027">
        <w:r>
          <w:rPr>
            <w:color w:val="000000"/>
          </w:rPr>
          <w:t>21 其他年龄特异检查</w:t>
        </w:r>
      </w:hyperlink>
    </w:p>
    <w:p>
      <w:pPr>
        <w:spacing w:after="40"/>
        <w:ind w:left="0"/>
      </w:pPr>
      <w:hyperlink w:anchor="S0028">
        <w:r>
          <w:rPr>
            <w:color w:val="000000"/>
          </w:rPr>
          <w:t>18类症状采集与决策线索</w:t>
        </w:r>
      </w:hyperlink>
    </w:p>
    <w:p>
      <w:pPr>
        <w:spacing w:after="40"/>
        <w:ind w:left="0"/>
      </w:pPr>
      <w:hyperlink w:anchor="S0029">
        <w:r>
          <w:rPr>
            <w:color w:val="000000"/>
          </w:rPr>
          <w:t>标准评估模板</w:t>
        </w:r>
      </w:hyperlink>
    </w:p>
    <w:p>
      <w:pPr>
        <w:spacing w:after="40"/>
        <w:ind w:left="0"/>
      </w:pPr>
      <w:hyperlink w:anchor="S0030">
        <w:r>
          <w:rPr>
            <w:color w:val="000000"/>
          </w:rPr>
          <w:t>完整虚构病例与输出示例</w:t>
        </w:r>
      </w:hyperlink>
    </w:p>
    <w:p>
      <w:pPr>
        <w:spacing w:after="40"/>
        <w:ind w:left="0"/>
      </w:pPr>
      <w:hyperlink w:anchor="S0031">
        <w:r>
          <w:rPr>
            <w:color w:val="000000"/>
          </w:rPr>
          <w:t>医学真实性边界 常见错误与模块协同</w:t>
        </w:r>
      </w:hyperlink>
    </w:p>
    <w:p>
      <w:pPr>
        <w:spacing w:after="40"/>
        <w:ind w:left="0"/>
      </w:pPr>
      <w:hyperlink w:anchor="S0032">
        <w:r>
          <w:rPr>
            <w:color w:val="000000"/>
          </w:rPr>
          <w:t>模块质量控制清单</w:t>
        </w:r>
      </w:hyperlink>
    </w:p>
    <w:p>
      <w:pPr>
        <w:spacing w:after="40"/>
        <w:ind w:left="0"/>
      </w:pPr>
      <w:hyperlink w:anchor="S0033">
        <w:r>
          <w:rPr>
            <w:color w:val="000000"/>
          </w:rPr>
          <w:t>指南规范及证据来源</w:t>
        </w:r>
      </w:hyperlink>
    </w:p>
    <w:p>
      <w:pPr>
        <w:spacing w:after="40"/>
        <w:ind w:left="227"/>
      </w:pPr>
      <w:hyperlink w:anchor="S0034">
        <w:r>
          <w:rPr>
            <w:color w:val="000000"/>
          </w:rPr>
          <w:t>R05 7岁以下儿童生长标准</w:t>
        </w:r>
      </w:hyperlink>
    </w:p>
    <w:p>
      <w:pPr>
        <w:spacing w:after="40"/>
        <w:ind w:left="227"/>
      </w:pPr>
      <w:hyperlink w:anchor="S0035">
        <w:r>
          <w:rPr>
            <w:color w:val="000000"/>
          </w:rPr>
          <w:t>R06 7岁～18岁儿童青少年身高发育等级评价</w:t>
        </w:r>
      </w:hyperlink>
    </w:p>
    <w:p>
      <w:pPr>
        <w:spacing w:after="40"/>
        <w:ind w:left="227"/>
      </w:pPr>
      <w:hyperlink w:anchor="S0036">
        <w:r>
          <w:rPr>
            <w:color w:val="000000"/>
          </w:rPr>
          <w:t>R36 Fever in under 5s assessment and initial management NG143</w:t>
        </w:r>
      </w:hyperlink>
    </w:p>
    <w:p>
      <w:pPr>
        <w:spacing w:after="40"/>
        <w:ind w:left="227"/>
      </w:pPr>
      <w:hyperlink w:anchor="S0037">
        <w:r>
          <w:rPr>
            <w:color w:val="000000"/>
          </w:rPr>
          <w:t>尚待补齐的来源</w:t>
        </w:r>
      </w:hyperlink>
    </w:p>
    <w:p>
      <w:pPr>
        <w:spacing w:after="40"/>
        <w:ind w:left="0"/>
      </w:pPr>
      <w:hyperlink w:anchor="S0038">
        <w:r>
          <w:rPr>
            <w:color w:val="000000"/>
          </w:rPr>
          <w:t>版本更新与维护说明</w:t>
        </w:r>
      </w:hyperlink>
    </w:p>
    <w:p>
      <w:r>
        <w:br w:type="page"/>
      </w:r>
    </w:p>
    <w:p>
      <w:bookmarkStart w:id="0" w:name="S0000"/>
      <w:pPr>
        <w:pStyle w:val="Heading1"/>
      </w:pPr>
      <w:r>
        <w:t>模块定位及调用契约</w:t>
      </w:r>
      <w:bookmarkEnd w:id="0"/>
    </w:p>
    <w:p>
      <w:r>
        <w:rPr>
          <w:b w:val="0"/>
        </w:rPr>
        <w:t>版本V1.0。所属第2级。功能定位：按年龄核对实查、生命体征、生长和发育；不以未查替代阴性。适用普通儿科、新生儿、NICU/PICU及儿童专科；具体收治年龄依医院。自动调用条件：涉及本模块任务、相应病种或新增相关事实时。</w:t>
      </w:r>
    </w:p>
    <w:p>
      <w:r>
        <w:rPr>
          <w:b w:val="0"/>
        </w:rPr>
        <w:t>必需输入：患儿和本次住院标识、目标文书类型与时点、出生及年龄资料、当前测量及给药体重日期、当次实查、实际报告及可知时间、治疗医嘱与执行、设备状态、真实医师意见及监护来源。按任务适用性取用，关键缺项框外核实，非关键安全省略。</w:t>
      </w:r>
    </w:p>
    <w:p>
      <w:bookmarkStart w:id="1" w:name="S0001"/>
      <w:pPr>
        <w:pStyle w:val="Heading1"/>
      </w:pPr>
      <w:r>
        <w:t>医学事实与安全契约</w:t>
      </w:r>
      <w:bookmarkEnd w:id="1"/>
    </w:p>
    <w:p>
      <w:r>
        <w:rPr>
          <w:b w:val="0"/>
        </w:rPr>
        <w:t>事实必须同时关联patient_id、可靠第二标识、encounter_id、source_id、source_type、event_time、recorded_at、available_at、author、verification和版本。床号、姓名或对话连续性不足以单独证明同一患儿。稳定病史保留原日期来源；当日体温、体重、查体、尿量、支持参数和执行不能由昨日复制。未知、未询问、未查、待回、冲突、确证阴性和不适用各自标记，0不能表示未知。监护人口述、患儿自述、转诊记录、原报告和医师直接观察分别归属。医学知识及模拟病例永不进入真实患儿事实集。</w:t>
      </w:r>
    </w:p>
    <w:p>
      <w:r>
        <w:rPr>
          <w:b w:val="0"/>
        </w:rPr>
        <w:t>任何药物、液体、营养处方或呼吸支持建议都不能反推已经执行。药物状态依次可为知识建议、医师拟定、已开医嘱、已配制和实际给药，暂停、停止、取消、拒绝及恢复独立管理；可由抢救原始执行记录证明紧急给药，不强迫虚构事前电子医嘱。年龄、胎龄、日龄、当前实测体重和给药计算体重及日期分开。mg/kg/次与mg/kg/日、mg与mL、μg与mg、单位与mL分别核算；制剂浓度不是给药剂量。缺体重、浓度、频次、途径或方案来源时不输出精确体积或处方。肝肾功能、最大剂量、过敏、相互作用及本院制剂逐例核对。仅有年龄不得生成固定补液；维持、复苏、纠正缺失及持续丢失分别估算并排除重复。目标奶量不等于实际奶量，母乳直接哺喂无测量时不估造mL。</w:t>
      </w:r>
    </w:p>
    <w:p>
      <w:bookmarkStart w:id="2" w:name="S0002"/>
      <w:pPr>
        <w:pStyle w:val="Heading1"/>
      </w:pPr>
      <w:r>
        <w:t>医学文书统一输出协议</w:t>
      </w:r>
      <w:bookmarkEnd w:id="2"/>
    </w:p>
    <w:p>
      <w:r>
        <w:rPr>
          <w:b w:val="0"/>
        </w:rPr>
        <w:t>正式文书日期、时间、标题以及实际医师姓名职称置于代码框外；每份医学正文置于独立Markdown text代码框。框内仅含可复制医学正文，不重复题头，不含AI解释、核对问题或未替换占位符。日常病程和主治、副主任、主任医师查房为连续完整一整段，不分条、不空行、不插多余空格，不能为单段删减必要临床信息。首次病程、入院、抢救、新生儿复苏、特殊操作、出院等固定栏目文书保留必要结构。新生儿复苏、PICU/NICU连续监护、呼吸机参数、实际给药、出入量和抢救必须保留事件时间与结构字段，不能强压为单段。正文不重复题头日期，但必要的采样、治疗和抢救时点仍须保留。不得使用“根据昨天的查房记录”“结合前一天的检查情况”“根据用户上传的图片”“AI认为”。历史结果直接写明实际日期。正式正文不得残留【变量】、双选项或虚构签名。关键缺项或冲突在框外说明，暂停受影响净稿；非关键项目安全省略。模板变量仅用于规则库教学，不是可直接提交的病历。</w:t>
      </w:r>
    </w:p>
    <w:p>
      <w:bookmarkStart w:id="3" w:name="S0003"/>
      <w:pPr>
        <w:pStyle w:val="Heading1"/>
      </w:pPr>
      <w:r>
        <w:t>年龄和测量数据字典</w:t>
      </w:r>
      <w:bookmarkEnd w:id="3"/>
    </w:p>
    <w:p>
      <w:r>
        <w:rPr>
          <w:b w:val="0"/>
        </w:rPr>
        <w:t>出生时间含日期、时分、时区和来源；只知出生日期时可计算周岁及日期年龄，不能精算小时龄。实际年龄保存年月日与经过天数；月龄按日历月计算，不以30天机械代替。胎龄用周加天及依据，不可用出生体重估计。生后小时龄等于目标事件时刻减出生时刻的实际小时数；完成日龄为经过整天数，系统DOL若从出生第1天计须另存口径。月经后年龄为出生胎龄加生后经过天数。校正年龄等于实际经过时间减去40周与出生胎龄的差；未达足月表达月经后年龄，禁输出负月龄。足月儿不人为校正；早产校正是否采用及截止年龄根据具体生长或量表版本注明。</w:t>
      </w:r>
    </w:p>
    <w:p>
      <w:r>
        <w:rPr>
          <w:b w:val="0"/>
        </w:rPr>
        <w:t>当前体重至少含value、kg、measured_at、measurement_method、source_id和是否水肿等解释。最近一次体重只能表述为最近测量，不标为今日实测；给药计算另建dosing_weight及有效时段和医师确认，不能把出生体重或旧日体重自动作为当前给药体重。身长卧位或身高立位、头围及器具方法分别记录。BMI=体重kg÷身高m平方，只有适用人群和测量齐全才解释。Mosteller体表面积=平方根[身高cm×体重kg÷3600]只作明确公式下的算术值，是否适合特定药物方案由专科确认，不能拿估算值替代方案指定算法。</w:t>
      </w:r>
    </w:p>
    <w:p>
      <w:bookmarkStart w:id="4" w:name="S0004"/>
      <w:pPr>
        <w:pStyle w:val="Heading1"/>
      </w:pPr>
      <w:r>
        <w:t>生长曲线及营养分析</w:t>
      </w:r>
      <w:bookmarkEnd w:id="4"/>
    </w:p>
    <w:p>
      <w:r>
        <w:rPr>
          <w:b w:val="0"/>
        </w:rPr>
        <w:t>先复核测量时间、年龄、性别、胎龄和水分状态，再选择曲线。7岁以下可核WS/T 423—2022；7至18岁身高等级核WS/T 612—2018。早产儿参考曲线需另注明胎龄范围、版本、出生横断面或生后纵向用途，未经加载原曲线不出具体百分位。WHO等其他标准作为不同来源分别标注，不能拼接多个标准求趋势。LMS计算须有实际L、M、S及精确匹配数据；无参数不输出精确Z分数。既往和本次采用不同标准时说明，不能将标准改变误认为生长突降。</w:t>
      </w:r>
    </w:p>
    <w:p>
      <w:r>
        <w:rPr>
          <w:b w:val="0"/>
        </w:rPr>
        <w:t>营养评价分别记录近期摄入、体重身长及其趋势、疾病和功能影响；急性水分变化不能当营养改善。低体重、消瘦、生长迟缓、水肿型营养问题等只按适龄有效标准和完整测量确定。无足够测量间隔不精确计算生长速度；体重改变%注明基线、当前日期及公式。发育分大运动、精细运动、语言、认知学习、社会交往及喂养能力，家属描述与标准测评结果分开，筛查异常和临床诊断不同。</w:t>
      </w:r>
    </w:p>
    <w:p>
      <w:bookmarkStart w:id="5" w:name="S0005"/>
      <w:pPr>
        <w:pStyle w:val="Heading1"/>
      </w:pPr>
      <w:r>
        <w:t>年龄阶段评价规则</w:t>
      </w:r>
      <w:bookmarkEnd w:id="5"/>
    </w:p>
    <w:p>
      <w:r>
        <w:rPr>
          <w:b w:val="0"/>
        </w:rPr>
        <w:t>新生儿出生至生后未满28天：小时龄、胎龄、睡眠或哭闹、体温和出生过渡显著影响判断；血压袖带、SpO2部位和支持条件明确，不能套婴儿或成人区间。NICU超过28天可继续病种模块但实际年龄如实更新。婴儿28天至未满1岁与幼儿1至未满3岁：安静完整计数呼吸，关注鼻翼、凹陷、吃奶和灌注；发热风险按精确日月龄。学龄前约3至未满6岁：合作程度、哭闹疼痛与发热对心率呼吸的影响记录，气道症状及功能需多来源。学龄儿童约6岁后：结合年龄、性别、身高解释血压及肺功能，不用成人正常范围。青少年：青春期分期由真实查体确定，不能用周岁替代Tanner分期；关注隐私、营养、药物和身心功能，具体收治年龄依医院规定。</w:t>
      </w:r>
    </w:p>
    <w:p>
      <w:r>
        <w:rPr>
          <w:b w:val="0"/>
        </w:rPr>
        <w:t>以上阶段用于选择检查，不是硬性诊断阈值。本库不建立未核验的统一HR/RR正常数值表；每次调用经院内验证的年龄表并记录来源。可采用R36的5岁以下发热风险规则作为明确人群的补充：3月龄以下体温达到38℃需高风险评估；这不是细菌感染确诊标准，也不能外推给其他年龄。安静、睡眠、哭闹、发热及吸氧条件决定解释。缺参考范围保留实测值和病情表现，不生成“生命体征平稳”的笼统结论。</w:t>
      </w:r>
    </w:p>
    <w:p>
      <w:bookmarkStart w:id="6" w:name="S0006"/>
      <w:pPr>
        <w:pStyle w:val="Heading1"/>
      </w:pPr>
      <w:r>
        <w:t>21项儿科实查</w:t>
      </w:r>
      <w:bookmarkEnd w:id="6"/>
    </w:p>
    <w:p>
      <w:bookmarkStart w:id="7" w:name="S0007"/>
      <w:pPr>
        <w:pStyle w:val="Heading2"/>
      </w:pPr>
      <w:r>
        <w:t>01 一般状态与精神反应</w:t>
      </w:r>
      <w:bookmarkEnd w:id="7"/>
    </w:p>
    <w:p>
      <w:r>
        <w:rPr>
          <w:b w:val="0"/>
        </w:rPr>
        <w:t>清醒互动、哭声、安慰反应、活动及与平日差异，镇静影响单列。来源必须是当次实际检查，不能由监护人说“正常”代替。</w:t>
      </w:r>
    </w:p>
    <w:p>
      <w:bookmarkStart w:id="8" w:name="S0008"/>
      <w:pPr>
        <w:pStyle w:val="Heading2"/>
      </w:pPr>
      <w:r>
        <w:t>02 呼吸频率</w:t>
      </w:r>
      <w:bookmarkEnd w:id="8"/>
    </w:p>
    <w:p>
      <w:r>
        <w:rPr>
          <w:b w:val="0"/>
        </w:rPr>
        <w:t>完整计数、安静或哭闹、氧疗条件和呼吸做功。来源必须是当次实际检查，不能由监护人说“正常”代替。</w:t>
      </w:r>
    </w:p>
    <w:p>
      <w:bookmarkStart w:id="9" w:name="S0009"/>
      <w:pPr>
        <w:pStyle w:val="Heading2"/>
      </w:pPr>
      <w:r>
        <w:t>03 心率</w:t>
      </w:r>
      <w:bookmarkEnd w:id="9"/>
    </w:p>
    <w:p>
      <w:r>
        <w:rPr>
          <w:b w:val="0"/>
        </w:rPr>
        <w:t>方法节律、测量条件，不能仅心率快定心律失常。来源必须是当次实际检查，不能由监护人说“正常”代替。</w:t>
      </w:r>
    </w:p>
    <w:p>
      <w:bookmarkStart w:id="10" w:name="S0010"/>
      <w:pPr>
        <w:pStyle w:val="Heading2"/>
      </w:pPr>
      <w:r>
        <w:t>04 血压</w:t>
      </w:r>
      <w:bookmarkEnd w:id="10"/>
    </w:p>
    <w:p>
      <w:r>
        <w:rPr>
          <w:b w:val="0"/>
        </w:rPr>
        <w:t>部位袖带体位及重复测量，适龄性别身高判断。来源必须是当次实际检查，不能由监护人说“正常”代替。</w:t>
      </w:r>
    </w:p>
    <w:p>
      <w:bookmarkStart w:id="11" w:name="S0011"/>
      <w:pPr>
        <w:pStyle w:val="Heading2"/>
      </w:pPr>
      <w:r>
        <w:t>05 体温</w:t>
      </w:r>
      <w:bookmarkEnd w:id="11"/>
    </w:p>
    <w:p>
      <w:r>
        <w:rPr>
          <w:b w:val="0"/>
        </w:rPr>
        <w:t>测量部位方法与时点。来源必须是当次实际检查，不能由监护人说“正常”代替。</w:t>
      </w:r>
    </w:p>
    <w:p>
      <w:bookmarkStart w:id="12" w:name="S0012"/>
      <w:pPr>
        <w:pStyle w:val="Heading2"/>
      </w:pPr>
      <w:r>
        <w:t>06 SpO2</w:t>
      </w:r>
      <w:bookmarkEnd w:id="12"/>
    </w:p>
    <w:p>
      <w:r>
        <w:rPr>
          <w:b w:val="0"/>
        </w:rPr>
        <w:t>探头部位波形、FiO2或流量和灌注限制。来源必须是当次实际检查，不能由监护人说“正常”代替。</w:t>
      </w:r>
    </w:p>
    <w:p>
      <w:bookmarkStart w:id="13" w:name="S0013"/>
      <w:pPr>
        <w:pStyle w:val="Heading2"/>
      </w:pPr>
      <w:r>
        <w:t>07 皮肤黏膜</w:t>
      </w:r>
      <w:bookmarkEnd w:id="13"/>
    </w:p>
    <w:p>
      <w:r>
        <w:rPr>
          <w:b w:val="0"/>
        </w:rPr>
        <w:t>颜色、皮疹分布、紫癜、黄染和水分，外观不量化胆红素。来源必须是当次实际检查，不能由监护人说“正常”代替。</w:t>
      </w:r>
    </w:p>
    <w:p>
      <w:bookmarkStart w:id="14" w:name="S0014"/>
      <w:pPr>
        <w:pStyle w:val="Heading2"/>
      </w:pPr>
      <w:r>
        <w:t>08 前囟颅部</w:t>
      </w:r>
      <w:bookmarkEnd w:id="14"/>
    </w:p>
    <w:p>
      <w:r>
        <w:rPr>
          <w:b w:val="0"/>
        </w:rPr>
        <w:t>实际大小张力、体位与哭闹，头围实测。来源必须是当次实际检查，不能由监护人说“正常”代替。</w:t>
      </w:r>
    </w:p>
    <w:p>
      <w:bookmarkStart w:id="15" w:name="S0015"/>
      <w:pPr>
        <w:pStyle w:val="Heading2"/>
      </w:pPr>
      <w:r>
        <w:t>09 口腔咽部</w:t>
      </w:r>
      <w:bookmarkEnd w:id="15"/>
    </w:p>
    <w:p>
      <w:r>
        <w:rPr>
          <w:b w:val="0"/>
        </w:rPr>
        <w:t>黏膜、疱疹咽扁桃体和气道风险，不强行危险查体。来源必须是当次实际检查，不能由监护人说“正常”代替。</w:t>
      </w:r>
    </w:p>
    <w:p>
      <w:bookmarkStart w:id="16" w:name="S0016"/>
      <w:pPr>
        <w:pStyle w:val="Heading2"/>
      </w:pPr>
      <w:r>
        <w:t>10 颈部</w:t>
      </w:r>
      <w:bookmarkEnd w:id="16"/>
    </w:p>
    <w:p>
      <w:r>
        <w:rPr>
          <w:b w:val="0"/>
        </w:rPr>
        <w:t>淋巴结、活动及适龄脑膜刺激评价。来源必须是当次实际检查，不能由监护人说“正常”代替。</w:t>
      </w:r>
    </w:p>
    <w:p>
      <w:bookmarkStart w:id="17" w:name="S0017"/>
      <w:pPr>
        <w:pStyle w:val="Heading2"/>
      </w:pPr>
      <w:r>
        <w:t>11 呼吸系统</w:t>
      </w:r>
      <w:bookmarkEnd w:id="17"/>
    </w:p>
    <w:p>
      <w:r>
        <w:rPr>
          <w:b w:val="0"/>
        </w:rPr>
        <w:t>胸廓、凹陷、鼻翼、左右呼吸音、啰音及喉鸣哮鸣区别。来源必须是当次实际检查，不能由监护人说“正常”代替。</w:t>
      </w:r>
    </w:p>
    <w:p>
      <w:bookmarkStart w:id="18" w:name="S0018"/>
      <w:pPr>
        <w:pStyle w:val="Heading2"/>
      </w:pPr>
      <w:r>
        <w:t>12 心血管</w:t>
      </w:r>
      <w:bookmarkEnd w:id="18"/>
    </w:p>
    <w:p>
      <w:r>
        <w:rPr>
          <w:b w:val="0"/>
        </w:rPr>
        <w:t>脉搏、灌注、心音杂音、肝大和水肿，不从听诊推结构。来源必须是当次实际检查，不能由监护人说“正常”代替。</w:t>
      </w:r>
    </w:p>
    <w:p>
      <w:bookmarkStart w:id="19" w:name="S0019"/>
      <w:pPr>
        <w:pStyle w:val="Heading2"/>
      </w:pPr>
      <w:r>
        <w:t>13 腹部</w:t>
      </w:r>
      <w:bookmarkEnd w:id="19"/>
    </w:p>
    <w:p>
      <w:r>
        <w:rPr>
          <w:b w:val="0"/>
        </w:rPr>
        <w:t>腹胀压痛腹膜征、包块肠鸣及年龄合作限制。来源必须是当次实际检查，不能由监护人说“正常”代替。</w:t>
      </w:r>
    </w:p>
    <w:p>
      <w:bookmarkStart w:id="20" w:name="S0020"/>
      <w:pPr>
        <w:pStyle w:val="Heading2"/>
      </w:pPr>
      <w:r>
        <w:t>14 肝脾</w:t>
      </w:r>
      <w:bookmarkEnd w:id="20"/>
    </w:p>
    <w:p>
      <w:r>
        <w:rPr>
          <w:b w:val="0"/>
        </w:rPr>
        <w:t>触及位置及测量方法，不从腹胀推肝脾大。来源必须是当次实际检查，不能由监护人说“正常”代替。</w:t>
      </w:r>
    </w:p>
    <w:p>
      <w:bookmarkStart w:id="21" w:name="S0021"/>
      <w:pPr>
        <w:pStyle w:val="Heading2"/>
      </w:pPr>
      <w:r>
        <w:t>15 四肢</w:t>
      </w:r>
      <w:bookmarkEnd w:id="21"/>
    </w:p>
    <w:p>
      <w:r>
        <w:rPr>
          <w:b w:val="0"/>
        </w:rPr>
        <w:t>水肿活动关节、末梢温度及实际功能。来源必须是当次实际检查，不能由监护人说“正常”代替。</w:t>
      </w:r>
    </w:p>
    <w:p>
      <w:bookmarkStart w:id="22" w:name="S0022"/>
      <w:pPr>
        <w:pStyle w:val="Heading2"/>
      </w:pPr>
      <w:r>
        <w:t>16 外生殖器相关</w:t>
      </w:r>
      <w:bookmarkEnd w:id="22"/>
    </w:p>
    <w:p>
      <w:r>
        <w:rPr>
          <w:b w:val="0"/>
        </w:rPr>
        <w:t>仅适应证下检查，记录隐私陪护及实际所见。来源必须是当次实际检查，不能由监护人说“正常”代替。</w:t>
      </w:r>
    </w:p>
    <w:p>
      <w:bookmarkStart w:id="23" w:name="S0023"/>
      <w:pPr>
        <w:pStyle w:val="Heading2"/>
      </w:pPr>
      <w:r>
        <w:t>17 神经系统</w:t>
      </w:r>
      <w:bookmarkEnd w:id="23"/>
    </w:p>
    <w:p>
      <w:r>
        <w:rPr>
          <w:b w:val="0"/>
        </w:rPr>
        <w:t>意识颅神经、运动感觉反射和年龄适用检查。来源必须是当次实际检查，不能由监护人说“正常”代替。</w:t>
      </w:r>
    </w:p>
    <w:p>
      <w:bookmarkStart w:id="24" w:name="S0024"/>
      <w:pPr>
        <w:pStyle w:val="Heading2"/>
      </w:pPr>
      <w:r>
        <w:t>18 肌张力</w:t>
      </w:r>
      <w:bookmarkEnd w:id="24"/>
    </w:p>
    <w:p>
      <w:r>
        <w:rPr>
          <w:b w:val="0"/>
        </w:rPr>
        <w:t>主动被动张力、姿势与力量分开。来源必须是当次实际检查，不能由监护人说“正常”代替。</w:t>
      </w:r>
    </w:p>
    <w:p>
      <w:bookmarkStart w:id="25" w:name="S0025"/>
      <w:pPr>
        <w:pStyle w:val="Heading2"/>
      </w:pPr>
      <w:r>
        <w:t>19 发育体征</w:t>
      </w:r>
      <w:bookmarkEnd w:id="25"/>
    </w:p>
    <w:p>
      <w:r>
        <w:rPr>
          <w:b w:val="0"/>
        </w:rPr>
        <w:t>里程碑相关任务、环境和合作限制。来源必须是当次实际检查，不能由监护人说“正常”代替。</w:t>
      </w:r>
    </w:p>
    <w:p>
      <w:bookmarkStart w:id="26" w:name="S0026"/>
      <w:pPr>
        <w:pStyle w:val="Heading2"/>
      </w:pPr>
      <w:r>
        <w:t>20 喂养吞咽</w:t>
      </w:r>
      <w:bookmarkEnd w:id="26"/>
    </w:p>
    <w:p>
      <w:r>
        <w:rPr>
          <w:b w:val="0"/>
        </w:rPr>
        <w:t>吸吮、吞咽、呼吸协调和呛咳，不替代正式评估。来源必须是当次实际检查，不能由监护人说“正常”代替。</w:t>
      </w:r>
    </w:p>
    <w:p>
      <w:bookmarkStart w:id="27" w:name="S0027"/>
      <w:pPr>
        <w:pStyle w:val="Heading2"/>
      </w:pPr>
      <w:r>
        <w:t>21 其他年龄特异检查</w:t>
      </w:r>
      <w:bookmarkEnd w:id="27"/>
    </w:p>
    <w:p>
      <w:r>
        <w:rPr>
          <w:b w:val="0"/>
        </w:rPr>
        <w:t>按主病需要选择，未做项目不自动正常。来源必须是当次实际检查，不能由监护人说“正常”代替。</w:t>
      </w:r>
    </w:p>
    <w:p>
      <w:bookmarkStart w:id="28" w:name="S0028"/>
      <w:pPr>
        <w:pStyle w:val="Heading1"/>
      </w:pPr>
      <w:r>
        <w:t>18类症状采集与决策线索</w:t>
      </w:r>
      <w:bookmarkEnd w:id="28"/>
    </w:p>
    <w:p>
      <w:r>
        <w:rPr>
          <w:b w:val="0"/>
        </w:rPr>
        <w:t>发热：最高体温、方法、热程、疫苗和低龄风险。</w:t>
      </w:r>
    </w:p>
    <w:p>
      <w:r>
        <w:rPr>
          <w:b w:val="0"/>
        </w:rPr>
        <w:t>咳嗽：干湿时程、昼夜、喂养运动与异物史。</w:t>
      </w:r>
    </w:p>
    <w:p>
      <w:r>
        <w:rPr>
          <w:b w:val="0"/>
        </w:rPr>
        <w:t>喘息：首次或反复、诱因、间歇及过敏，不直接定哮喘。</w:t>
      </w:r>
    </w:p>
    <w:p>
      <w:r>
        <w:rPr>
          <w:b w:val="0"/>
        </w:rPr>
        <w:t>呼吸急促：安静计数、发热哭闹及SpO2支持条件。</w:t>
      </w:r>
    </w:p>
    <w:p>
      <w:r>
        <w:rPr>
          <w:b w:val="0"/>
        </w:rPr>
        <w:t>呼吸困难：凹陷、鼻翼、说话喂养、疲竭与气道梗阻。</w:t>
      </w:r>
    </w:p>
    <w:p>
      <w:r>
        <w:rPr>
          <w:b w:val="0"/>
        </w:rPr>
        <w:t>呕吐：胆汁血性、喷射、进食时相及神经表现。</w:t>
      </w:r>
    </w:p>
    <w:p>
      <w:r>
        <w:rPr>
          <w:b w:val="0"/>
        </w:rPr>
        <w:t>腹泻：次数、性状、每次量是否实测、血便和丢失。</w:t>
      </w:r>
    </w:p>
    <w:p>
      <w:r>
        <w:rPr>
          <w:b w:val="0"/>
        </w:rPr>
        <w:t>腹痛：部位迁移、持续、排便尿症及腹膜征。</w:t>
      </w:r>
    </w:p>
    <w:p>
      <w:r>
        <w:rPr>
          <w:b w:val="0"/>
        </w:rPr>
        <w:t>拒奶及喂养困难：实际摄入、技能、吞咽呼吸与照护过程。</w:t>
      </w:r>
    </w:p>
    <w:p>
      <w:r>
        <w:rPr>
          <w:b w:val="0"/>
        </w:rPr>
        <w:t>精神反应差：平日基线、觉醒互动及镇静影响。</w:t>
      </w:r>
    </w:p>
    <w:p>
      <w:r>
        <w:rPr>
          <w:b w:val="0"/>
        </w:rPr>
        <w:t>烦躁及哭闹异常：持续可安抚性、疼痛和伴随，不直接意识障碍。</w:t>
      </w:r>
    </w:p>
    <w:p>
      <w:r>
        <w:rPr>
          <w:b w:val="0"/>
        </w:rPr>
        <w:t>惊厥：起止、局灶、次数、视频、意识恢复。</w:t>
      </w:r>
    </w:p>
    <w:p>
      <w:r>
        <w:rPr>
          <w:b w:val="0"/>
        </w:rPr>
        <w:t>意识改变：适龄量表分项、血糖和气道风险。</w:t>
      </w:r>
    </w:p>
    <w:p>
      <w:r>
        <w:rPr>
          <w:b w:val="0"/>
        </w:rPr>
        <w:t>皮疹：分布时间、压退、黏膜和药物接触。</w:t>
      </w:r>
    </w:p>
    <w:p>
      <w:r>
        <w:rPr>
          <w:b w:val="0"/>
        </w:rPr>
        <w:t>水肿：部位程度、体重、尿量与血管内容量。</w:t>
      </w:r>
    </w:p>
    <w:p>
      <w:r>
        <w:rPr>
          <w:b w:val="0"/>
        </w:rPr>
        <w:t>尿量改变：区间、收集方法、漏计与体重。</w:t>
      </w:r>
    </w:p>
    <w:p>
      <w:r>
        <w:rPr>
          <w:b w:val="0"/>
        </w:rPr>
        <w:t>体重增长不良：测量曲线、摄入消耗及病因。</w:t>
      </w:r>
    </w:p>
    <w:p>
      <w:r>
        <w:rPr>
          <w:b w:val="0"/>
        </w:rPr>
        <w:t>发育迟缓：分领域、校正年龄、是否倒退和多信息来源。</w:t>
      </w:r>
    </w:p>
    <w:p>
      <w:bookmarkStart w:id="29" w:name="S0029"/>
      <w:pPr>
        <w:pStyle w:val="Heading1"/>
      </w:pPr>
      <w:r>
        <w:t>标准评估模板</w:t>
      </w:r>
      <w:bookmarkEnd w:id="29"/>
    </w:p>
    <w:p>
      <w:r>
        <w:rPr>
          <w:b w:val="0"/>
        </w:rPr>
        <w:t>【文书日期及时间】 儿科年龄生长与专科评估</w:t>
      </w:r>
    </w:p>
    <w:p>
      <w:pPr>
        <w:pStyle w:val="CodeText"/>
      </w:pPr>
      <w:r>
        <w:t>```text</w:t>
      </w:r>
    </w:p>
    <w:p>
      <w:pPr>
        <w:pStyle w:val="CodeText"/>
      </w:pPr>
      <w:r>
        <w:t>患儿出生【日期时刻及来源】，实际年龄【计算依据】，出生胎龄【周加天】，生后【小时或完成日龄】，月经后年龄及校正年龄【适用且依据明确时】。体重【值、单位、日期、测量方法】，身长或身高【值方法日期】，头围【值日期】。采用【标准版本、人群】评价【有依据的结论及限制】。当次检查【实查结果】，发育各领域【真实史或测评及来源】，当前问题【证据】，后续【实际计划】。</w:t>
      </w:r>
    </w:p>
    <w:p>
      <w:pPr>
        <w:pStyle w:val="CodeText"/>
      </w:pPr>
      <w:r>
        <w:t>```</w:t>
      </w:r>
    </w:p>
    <w:p>
      <w:bookmarkStart w:id="30" w:name="S0030"/>
      <w:pPr>
        <w:pStyle w:val="Heading1"/>
      </w:pPr>
      <w:r>
        <w:t>完整虚构病例与输出示例</w:t>
      </w:r>
      <w:bookmarkEnd w:id="30"/>
    </w:p>
    <w:p>
      <w:r>
        <w:rPr>
          <w:b w:val="0"/>
        </w:rPr>
        <w:t>本节所有标识、病史、检查、医师意见和事件均为人工构造，禁止作为真实患者输入的默认值。该病例完整呈现已知和未知资料，不用虚构正常来填满系统项目。</w:t>
      </w:r>
    </w:p>
    <w:p>
      <w:r>
        <w:rPr>
          <w:b w:val="0"/>
        </w:rPr>
        <w:t>病例标识：SIM-P04；本次住院：SIM-E04。目标文书时点：2026-10-30T11:00:00+08:00。出生：2026-10-02T11:00:00+08:00；胎龄：32周0天。实际体重：3.0kg，测量时间2026-10-30T08:00:00+08:00。年龄由出生及目标时点计算；不以模拟叙事替代时间计算。</w:t>
      </w:r>
    </w:p>
    <w:p>
      <w:r>
        <w:rPr>
          <w:b w:val="0"/>
        </w:rPr>
        <w:t>来源：虚构母亲提供病史；虚构医师记录本次实查与计划；虚构检查报告仅限下述已给内容。既往史、出生围产细节、接种、过敏和家族史未给项均标未提供；未询问不能写否认。生长发育：未提供纵向测量，不赋百分位。未给药物浓度、给药执行、完整出入量、设备参数、操作或签署均未知，不自动补齐。</w:t>
      </w:r>
    </w:p>
    <w:p>
      <w:r>
        <w:rPr>
          <w:b w:val="0"/>
        </w:rPr>
        <w:t>病史及当前临床资料：出生胎龄32周，生后28天，月经后年龄36周；未达足月，不写负校正月龄。</w:t>
      </w:r>
    </w:p>
    <w:p>
      <w:r>
        <w:rPr>
          <w:b w:val="0"/>
        </w:rPr>
        <w:t>诊断证据及处置：保留给定医师判断的确定度，不由执行器新增诊断；已有执行与计划按来源分层。风险、鉴别及监测围绕本模块任务展开，需真实医师确认的项目不反推已完成。随访未定的项目指定实际临床接收人后方可成稿。</w:t>
      </w:r>
    </w:p>
    <w:p>
      <w:r>
        <w:rPr>
          <w:b w:val="0"/>
        </w:rPr>
        <w:t>调用：00→01→11→02→03→04→101→10。模拟结果仅演示事实和格式；实际患者需重新运行10。</w:t>
      </w:r>
    </w:p>
    <w:p>
      <w:r>
        <w:rPr>
          <w:b w:val="0"/>
        </w:rPr>
        <w:t>2026年10月30日 11:00 病程记录</w:t>
      </w:r>
    </w:p>
    <w:p>
      <w:pPr>
        <w:pStyle w:val="CodeText"/>
      </w:pPr>
      <w:r>
        <w:t>```text</w:t>
      </w:r>
    </w:p>
    <w:p>
      <w:pPr>
        <w:pStyle w:val="CodeText"/>
      </w:pPr>
      <w:r>
        <w:t>出生胎龄32周，生后28天，月经后年龄36周；未达足月，不写负校正月龄。</w:t>
      </w:r>
    </w:p>
    <w:p>
      <w:pPr>
        <w:pStyle w:val="CodeText"/>
      </w:pPr>
      <w:r>
        <w:t>```</w:t>
      </w:r>
    </w:p>
    <w:p>
      <w:bookmarkStart w:id="31" w:name="S0031"/>
      <w:pPr>
        <w:pStyle w:val="Heading1"/>
      </w:pPr>
      <w:r>
        <w:t>医学真实性边界 常见错误与模块协同</w:t>
      </w:r>
      <w:bookmarkEnd w:id="31"/>
    </w:p>
    <w:p>
      <w:r>
        <w:rPr>
          <w:b w:val="0"/>
        </w:rPr>
        <w:t>本库为医师审核前的文书规则与模板，未连接医院EMR、医嘱系统、检验设备或患者数据库。自动调用是支持文件读取的AI依索引选读规则，不表示已部署后台。病例状态只在经授权的当前工作上下文或医院系统内维护，不写入通用Skill；新会话重新提供脱敏状态与来源。未读到的模块不得声称已读。不能代诊、代抢救、代处方、代知情同意或代签；监护人沟通和上级意见必须有真实参与证据。</w:t>
      </w:r>
    </w:p>
    <w:p>
      <w:r>
        <w:rPr>
          <w:b w:val="0"/>
        </w:rPr>
        <w:t>常见错误：实际年龄与胎龄混用、出生体重当当前体重、未查自动正常、病原检出直接病因确证、筛查或VUS当疾病确诊、计划当执行、旧住院当本次、母体检查当新生儿、未来结果写入旧病程、虚构沟通及上级意见。</w:t>
      </w:r>
    </w:p>
    <w:p>
      <w:r>
        <w:rPr>
          <w:b w:val="0"/>
        </w:rPr>
        <w:t>每次固定00→01→11，按需02至09和101至108，最后10。检查03的年龄测量、04的原文分析、05的操作设备、06的急变、07的执行、08的实际层级、09的家庭随访；各自不能越界代写。模块之间用编号定位和真实事件关联，不靠对话顺序自动合并。</w:t>
      </w:r>
    </w:p>
    <w:p>
      <w:bookmarkStart w:id="32" w:name="S0032"/>
      <w:pPr>
        <w:pStyle w:val="Heading1"/>
      </w:pPr>
      <w:r>
        <w:t>模块质量控制清单</w:t>
      </w:r>
      <w:bookmarkEnd w:id="32"/>
    </w:p>
    <w:p>
      <w:r>
        <w:rPr>
          <w:b w:val="0"/>
        </w:rPr>
        <w:t>核患者及住院、信息来源与时间；核出生日期胎龄日小时龄、测量和给药体重；核实际查体、参考人群、诊断证据与确定度；核药物单位浓度执行、液体营养统计、支持设备操作状态；核抢救事件、沟通医师真实意见、出院与随访责任；核代码框和单段。发现严重冲突暂停受影响正文并说明证据缺口。</w:t>
      </w:r>
    </w:p>
    <w:p>
      <w:bookmarkStart w:id="33" w:name="S0033"/>
      <w:pPr>
        <w:pStyle w:val="Heading1"/>
      </w:pPr>
      <w:r>
        <w:t>指南规范及证据来源</w:t>
      </w:r>
      <w:bookmarkEnd w:id="33"/>
    </w:p>
    <w:p>
      <w:r>
        <w:rPr>
          <w:b w:val="0"/>
        </w:rPr>
        <w:t>本文件来源核验日期为2026年10月30日，核验范围逐项注明。正式指南、专家共识、诊疗建议、管理通知和试行规范分别标识；未全文核验的阈值、剂量和推荐等级不启用。不把公开征求意见稿、制订计划或解读当作正式临床依据；国际来源须核中国批准信息和本院制度。检索未见更新不表示已证明绝对最新。</w:t>
      </w:r>
    </w:p>
    <w:p>
      <w:bookmarkStart w:id="34" w:name="S0034"/>
      <w:pPr>
        <w:pStyle w:val="Heading2"/>
      </w:pPr>
      <w:r>
        <w:t>R05 7岁以下儿童生长标准</w:t>
      </w:r>
      <w:bookmarkEnd w:id="34"/>
    </w:p>
    <w:p>
      <w:r>
        <w:rPr>
          <w:b w:val="0"/>
        </w:rPr>
        <w:t>发布机构：国家卫生健康委。正式年份及实际版本：WS/T 423—2022 2023-03-01实施。资料性质：卫生行业标准。适用年龄和人群：7岁以下儿童 按性别年龄。本次核验范围：官方标准及适用范围。可用关键证据及限制：评价须匹配测量方法、性别、年龄与原始表；不从标准名称生成百分位。 核验日期：2026年10月30日。</w:t>
      </w:r>
      <w:hyperlink r:id="rId11">
        <w:r>
          <w:rPr>
            <w:color w:val="000000"/>
          </w:rPr>
          <w:t>原始来源或发布页</w:t>
        </w:r>
      </w:hyperlink>
    </w:p>
    <w:p>
      <w:bookmarkStart w:id="35" w:name="S0035"/>
      <w:pPr>
        <w:pStyle w:val="Heading2"/>
      </w:pPr>
      <w:r>
        <w:t>R06 7岁～18岁儿童青少年身高发育等级评价</w:t>
      </w:r>
      <w:bookmarkEnd w:id="35"/>
    </w:p>
    <w:p>
      <w:r>
        <w:rPr>
          <w:b w:val="0"/>
        </w:rPr>
        <w:t>发布机构：国家卫生健康委。正式年份及实际版本：WS/T 612—2018。资料性质：卫生行业标准。适用年龄和人群：7～18岁儿童青少年。本次核验范围：官方标准。可用关键证据及限制：仅用于该人群身高等级评价，不能替代营养、青春期和病因诊断。 核验日期：2026年10月30日。</w:t>
      </w:r>
      <w:hyperlink r:id="rId12">
        <w:r>
          <w:rPr>
            <w:color w:val="000000"/>
          </w:rPr>
          <w:t>原始来源或发布页</w:t>
        </w:r>
      </w:hyperlink>
    </w:p>
    <w:p>
      <w:bookmarkStart w:id="36" w:name="S0036"/>
      <w:pPr>
        <w:pStyle w:val="Heading2"/>
      </w:pPr>
      <w:r>
        <w:t>R36 Fever in under 5s assessment and initial management NG143</w:t>
      </w:r>
      <w:bookmarkEnd w:id="36"/>
    </w:p>
    <w:p>
      <w:r>
        <w:rPr>
          <w:b w:val="0"/>
        </w:rPr>
        <w:t>发布机构：NICE。正式年份及实际版本：2019发布 官网现行章节。资料性质：正式国际指南。适用年龄和人群：5岁以下发热儿童。本次核验范围：官方建议章节。可用关键证据及限制：低龄婴儿发热风险需年龄分层；退热反应不用于排除严重感染。 核验日期：2026年10月30日。</w:t>
      </w:r>
      <w:hyperlink r:id="rId13">
        <w:r>
          <w:rPr>
            <w:color w:val="000000"/>
          </w:rPr>
          <w:t>原始来源或发布页</w:t>
        </w:r>
      </w:hyperlink>
    </w:p>
    <w:p>
      <w:bookmarkStart w:id="37" w:name="S0037"/>
      <w:pPr>
        <w:pStyle w:val="Heading2"/>
      </w:pPr>
      <w:r>
        <w:t>尚待补齐的来源</w:t>
      </w:r>
      <w:bookmarkEnd w:id="37"/>
    </w:p>
    <w:p>
      <w:r>
        <w:rPr>
          <w:b w:val="0"/>
        </w:rPr>
        <w:t>医院有效制度、收治年龄范围、危急值标准、各药品说明书和制剂浓度目录、操作授权及科室特定诊疗路径尚未提供；不虚构医院名称、制度编号或审批完成。许多罕见病、先心病亚型、肿瘤方案、风湿及遗传内分泌专病的直接全文未逐病核验，此版仅启用定性书写提示和证据门槛。使用具体阈值或方案前必须补充正式原文并经实际专科医师审核。</w:t>
      </w:r>
    </w:p>
    <w:p>
      <w:bookmarkStart w:id="38" w:name="S0038"/>
      <w:pPr>
        <w:pStyle w:val="Heading1"/>
      </w:pPr>
      <w:r>
        <w:t>版本更新与维护说明</w:t>
      </w:r>
      <w:bookmarkEnd w:id="38"/>
    </w:p>
    <w:p>
      <w:r>
        <w:rPr>
          <w:b w:val="0"/>
        </w:rPr>
        <w:t>版本V1.0，编制与公开来源核验日期2026年10月30日。维护时记录变更原因、涉及模块、来源版本、审核者和测试范围；重要指南、说明书、警戒或院内流程变更立即复核。建议季度检查链接及版本，频率为本库维护建议而非国家强制。新阈值或剂量只有在原始全文、适用人群、推荐内容和院内审核齐全后启用。未取得医院名称、制度编号、收治年龄、药品目录、危急值与操作权限文件，故院内适配未完成；不得宣称全院临床验收通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30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/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儿科AI病历书写系统 V1.0　模块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Calibri" w:hAnsi="Calibri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widowControl/>
      <w:spacing w:line="264" w:lineRule="auto" w:after="20"/>
    </w:pPr>
    <w:rPr>
      <w:rFonts w:ascii="Menlo" w:hAnsi="Menlo" w:eastAsia="Arial Unicode MS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hc.gov.cn/wjw/c100311/202211/923e7646561d4b88b72da9097d4da4d5.shtml" TargetMode="External"/><Relationship Id="rId12" Type="http://schemas.openxmlformats.org/officeDocument/2006/relationships/hyperlink" Target="https://www.nhc.gov.cn/wjw/pqt/201807/a5269d062966455ea55d90a02c690311.shtml" TargetMode="External"/><Relationship Id="rId13" Type="http://schemas.openxmlformats.org/officeDocument/2006/relationships/hyperlink" Target="https://www.nice.org.uk/guidance/ng143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儿科专科检查年龄生长发育及营养状态评估模板库</dc:title>
  <dc:subject>儿科医学文书规则库 医师审核前使用</dc:subject>
  <dc:creator>儿科病历模板库</dc:creator>
  <cp:keywords>儿科 新生儿 NICU PICU 事实溯源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