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04 儿科检验影像病原学遗传代谢及特殊检查分析模板库</w:t>
      </w:r>
    </w:p>
    <w:p>
      <w:r>
        <w:t>版本 V1.0　编制与核验日期 2026年10月30日</w:t>
      </w:r>
    </w:p>
    <w:p>
      <w:r>
        <w:t>所属层级 第2级　模块编号 04</w:t>
      </w:r>
    </w:p>
    <w:p>
      <w:r>
        <w:t>保存检验影像病原遗传原文，再独立分析年龄适用性和诊断证据。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报告事实与分析双通道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48项检查的差异化审查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血常规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CRP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PCT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肝功能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肾功能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电解质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血糖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血气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乳酸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凝血功能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尿常规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大便常规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尿液及粪便病原学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其他儿科专科检验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呼吸道病毒检测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肺炎支原体相关检查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细菌培养和药敏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血培养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脑脊液检查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尿培养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肠道病原学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其他感染相关检查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胸部X线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胸部CT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腹部超声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心脏超声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颅脑超声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28 颅脑MRI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29 泌尿系超声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30 骨骼及其他系统影像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31 新生儿相关特殊影像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32 脑电图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33 动态脑电图</w:t>
        </w:r>
      </w:hyperlink>
    </w:p>
    <w:p>
      <w:pPr>
        <w:spacing w:after="40"/>
        <w:ind w:left="227"/>
      </w:pPr>
      <w:hyperlink w:anchor="S0038">
        <w:r>
          <w:rPr>
            <w:color w:val="000000"/>
          </w:rPr>
          <w:t>34 心电图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35 动态心电图</w:t>
        </w:r>
      </w:hyperlink>
    </w:p>
    <w:p>
      <w:pPr>
        <w:spacing w:after="40"/>
        <w:ind w:left="227"/>
      </w:pPr>
      <w:hyperlink w:anchor="S0040">
        <w:r>
          <w:rPr>
            <w:color w:val="000000"/>
          </w:rPr>
          <w:t>36 儿童肺功能</w:t>
        </w:r>
      </w:hyperlink>
    </w:p>
    <w:p>
      <w:pPr>
        <w:spacing w:after="40"/>
        <w:ind w:left="227"/>
      </w:pPr>
      <w:hyperlink w:anchor="S0041">
        <w:r>
          <w:rPr>
            <w:color w:val="000000"/>
          </w:rPr>
          <w:t>37 心脏相关特殊检查</w:t>
        </w:r>
      </w:hyperlink>
    </w:p>
    <w:p>
      <w:pPr>
        <w:spacing w:after="40"/>
        <w:ind w:left="227"/>
      </w:pPr>
      <w:hyperlink w:anchor="S0042">
        <w:r>
          <w:rPr>
            <w:color w:val="000000"/>
          </w:rPr>
          <w:t>38 新生儿听力筛查及诊断性检查</w:t>
        </w:r>
      </w:hyperlink>
    </w:p>
    <w:p>
      <w:pPr>
        <w:spacing w:after="40"/>
        <w:ind w:left="227"/>
      </w:pPr>
      <w:hyperlink w:anchor="S0043">
        <w:r>
          <w:rPr>
            <w:color w:val="000000"/>
          </w:rPr>
          <w:t>39 其他实际完成专科检查</w:t>
        </w:r>
      </w:hyperlink>
    </w:p>
    <w:p>
      <w:pPr>
        <w:spacing w:after="40"/>
        <w:ind w:left="227"/>
      </w:pPr>
      <w:hyperlink w:anchor="S0044">
        <w:r>
          <w:rPr>
            <w:color w:val="000000"/>
          </w:rPr>
          <w:t>40 新生儿疾病筛查</w:t>
        </w:r>
      </w:hyperlink>
    </w:p>
    <w:p>
      <w:pPr>
        <w:spacing w:after="40"/>
        <w:ind w:left="227"/>
      </w:pPr>
      <w:hyperlink w:anchor="S0045">
        <w:r>
          <w:rPr>
            <w:color w:val="000000"/>
          </w:rPr>
          <w:t>41 血氨</w:t>
        </w:r>
      </w:hyperlink>
    </w:p>
    <w:p>
      <w:pPr>
        <w:spacing w:after="40"/>
        <w:ind w:left="227"/>
      </w:pPr>
      <w:hyperlink w:anchor="S0046">
        <w:r>
          <w:rPr>
            <w:color w:val="000000"/>
          </w:rPr>
          <w:t>42 血乳酸</w:t>
        </w:r>
      </w:hyperlink>
    </w:p>
    <w:p>
      <w:pPr>
        <w:spacing w:after="40"/>
        <w:ind w:left="227"/>
      </w:pPr>
      <w:hyperlink w:anchor="S0047">
        <w:r>
          <w:rPr>
            <w:color w:val="000000"/>
          </w:rPr>
          <w:t>43 血串联质谱</w:t>
        </w:r>
      </w:hyperlink>
    </w:p>
    <w:p>
      <w:pPr>
        <w:spacing w:after="40"/>
        <w:ind w:left="227"/>
      </w:pPr>
      <w:hyperlink w:anchor="S0048">
        <w:r>
          <w:rPr>
            <w:color w:val="000000"/>
          </w:rPr>
          <w:t>44 尿有机酸分析</w:t>
        </w:r>
      </w:hyperlink>
    </w:p>
    <w:p>
      <w:pPr>
        <w:spacing w:after="40"/>
        <w:ind w:left="227"/>
      </w:pPr>
      <w:hyperlink w:anchor="S0049">
        <w:r>
          <w:rPr>
            <w:color w:val="000000"/>
          </w:rPr>
          <w:t>45 染色体检查</w:t>
        </w:r>
      </w:hyperlink>
    </w:p>
    <w:p>
      <w:pPr>
        <w:spacing w:after="40"/>
        <w:ind w:left="227"/>
      </w:pPr>
      <w:hyperlink w:anchor="S0050">
        <w:r>
          <w:rPr>
            <w:color w:val="000000"/>
          </w:rPr>
          <w:t>46 染色体微阵列检测</w:t>
        </w:r>
      </w:hyperlink>
    </w:p>
    <w:p>
      <w:pPr>
        <w:spacing w:after="40"/>
        <w:ind w:left="227"/>
      </w:pPr>
      <w:hyperlink w:anchor="S0051">
        <w:r>
          <w:rPr>
            <w:color w:val="000000"/>
          </w:rPr>
          <w:t>47 基因检测</w:t>
        </w:r>
      </w:hyperlink>
    </w:p>
    <w:p>
      <w:pPr>
        <w:spacing w:after="40"/>
        <w:ind w:left="227"/>
      </w:pPr>
      <w:hyperlink w:anchor="S0052">
        <w:r>
          <w:rPr>
            <w:color w:val="000000"/>
          </w:rPr>
          <w:t>48 其他遗传代谢检查</w:t>
        </w:r>
      </w:hyperlink>
    </w:p>
    <w:p>
      <w:pPr>
        <w:spacing w:after="40"/>
        <w:ind w:left="0"/>
      </w:pPr>
      <w:hyperlink w:anchor="S0053">
        <w:r>
          <w:rPr>
            <w:color w:val="000000"/>
          </w:rPr>
          <w:t>新生儿胆红素专用判读门槛</w:t>
        </w:r>
      </w:hyperlink>
    </w:p>
    <w:p>
      <w:pPr>
        <w:spacing w:after="40"/>
        <w:ind w:left="0"/>
      </w:pPr>
      <w:hyperlink w:anchor="S0054">
        <w:r>
          <w:rPr>
            <w:color w:val="000000"/>
          </w:rPr>
          <w:t>诊断修正与回报模板</w:t>
        </w:r>
      </w:hyperlink>
    </w:p>
    <w:p>
      <w:pPr>
        <w:spacing w:after="40"/>
        <w:ind w:left="0"/>
      </w:pPr>
      <w:hyperlink w:anchor="S0055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56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57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58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59">
        <w:r>
          <w:rPr>
            <w:color w:val="000000"/>
          </w:rPr>
          <w:t>R07 儿童血细胞分析参考区间</w:t>
        </w:r>
      </w:hyperlink>
    </w:p>
    <w:p>
      <w:pPr>
        <w:spacing w:after="40"/>
        <w:ind w:left="227"/>
      </w:pPr>
      <w:hyperlink w:anchor="S0060">
        <w:r>
          <w:rPr>
            <w:color w:val="000000"/>
          </w:rPr>
          <w:t>R08 儿童临床常用生化检验项目参考区间</w:t>
        </w:r>
      </w:hyperlink>
    </w:p>
    <w:p>
      <w:pPr>
        <w:spacing w:after="40"/>
        <w:ind w:left="227"/>
      </w:pPr>
      <w:hyperlink w:anchor="S0061">
        <w:r>
          <w:rPr>
            <w:color w:val="000000"/>
          </w:rPr>
          <w:t>R09 新生儿高胆红素血症诊治指南（2025）</w:t>
        </w:r>
      </w:hyperlink>
    </w:p>
    <w:p>
      <w:pPr>
        <w:spacing w:after="40"/>
        <w:ind w:left="227"/>
      </w:pPr>
      <w:hyperlink w:anchor="S0062">
        <w:r>
          <w:rPr>
            <w:color w:val="000000"/>
          </w:rPr>
          <w:t>R37 新生儿疾病筛查管理办法</w:t>
        </w:r>
      </w:hyperlink>
    </w:p>
    <w:p>
      <w:pPr>
        <w:spacing w:after="40"/>
        <w:ind w:left="227"/>
      </w:pPr>
      <w:hyperlink w:anchor="S0063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64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保存检验影像病原遗传原文，再独立分析年龄适用性和诊断证据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报告事实与分析双通道</w:t>
      </w:r>
      <w:bookmarkEnd w:id="3"/>
    </w:p>
    <w:p>
      <w:r>
        <w:rPr>
          <w:b w:val="0"/>
        </w:rPr>
        <w:t>原始报告层保存检查号、患者标识、本次住院、标本部位、采样/检查时间、接收时间、报告及修订时间、available_at、方法、单位、参考区间、所见、意见和不确定词。OCR模糊位不猜，框外核实。用户要求原文时按原文整理；临床分析另段输出，不能修改原诊断意见。旧报告可作为注明日期的既往证据，不能变成本次新检查。相同项目跨实验室方法或单位不同时先检查可比性。</w:t>
      </w:r>
    </w:p>
    <w:p>
      <w:bookmarkStart w:id="4" w:name="S0004"/>
      <w:pPr>
        <w:pStyle w:val="Heading1"/>
      </w:pPr>
      <w:r>
        <w:t>48项检查的差异化审查</w:t>
      </w:r>
      <w:bookmarkEnd w:id="4"/>
    </w:p>
    <w:p>
      <w:bookmarkStart w:id="5" w:name="S0005"/>
      <w:pPr>
        <w:pStyle w:val="Heading2"/>
      </w:pPr>
      <w:r>
        <w:t>01 血常规</w:t>
      </w:r>
      <w:bookmarkEnd w:id="5"/>
    </w:p>
    <w:p>
      <w:r>
        <w:rPr>
          <w:b w:val="0"/>
        </w:rPr>
        <w:t>血红蛋白、白细胞绝对分类和血小板；静脉/末梢及年龄匹配，R07不含生后0～27天。实际报告按上述字段保存；无适龄参考依据时只复述原值与报告标识，不凭记忆补范围。</w:t>
      </w:r>
    </w:p>
    <w:p>
      <w:bookmarkStart w:id="6" w:name="S0006"/>
      <w:pPr>
        <w:pStyle w:val="Heading2"/>
      </w:pPr>
      <w:r>
        <w:t>02 CRP</w:t>
      </w:r>
      <w:bookmarkEnd w:id="6"/>
    </w:p>
    <w:p>
      <w:r>
        <w:rPr>
          <w:b w:val="0"/>
        </w:rPr>
        <w:t>炎症非特异，不能单值定细菌感染或脓毒症。实际报告按上述字段保存；无适龄参考依据时只复述原值与报告标识，不凭记忆补范围。</w:t>
      </w:r>
    </w:p>
    <w:p>
      <w:bookmarkStart w:id="7" w:name="S0007"/>
      <w:pPr>
        <w:pStyle w:val="Heading2"/>
      </w:pPr>
      <w:r>
        <w:t>03 PCT</w:t>
      </w:r>
      <w:bookmarkEnd w:id="7"/>
    </w:p>
    <w:p>
      <w:r>
        <w:rPr>
          <w:b w:val="0"/>
        </w:rPr>
        <w:t>新生儿生后时间及非感染升高背景，不能单项确认病原。实际报告按上述字段保存；无适龄参考依据时只复述原值与报告标识，不凭记忆补范围。</w:t>
      </w:r>
    </w:p>
    <w:p>
      <w:bookmarkStart w:id="8" w:name="S0008"/>
      <w:pPr>
        <w:pStyle w:val="Heading2"/>
      </w:pPr>
      <w:r>
        <w:t>04 肝功能</w:t>
      </w:r>
      <w:bookmarkEnd w:id="8"/>
    </w:p>
    <w:p>
      <w:r>
        <w:rPr>
          <w:b w:val="0"/>
        </w:rPr>
        <w:t>转氨酶、胆红素、白蛋白与凝血分开，酶升高不等肝衰竭。实际报告按上述字段保存；无适龄参考依据时只复述原值与报告标识，不凭记忆补范围。</w:t>
      </w:r>
    </w:p>
    <w:p>
      <w:bookmarkStart w:id="9" w:name="S0009"/>
      <w:pPr>
        <w:pStyle w:val="Heading2"/>
      </w:pPr>
      <w:r>
        <w:t>05 肾功能</w:t>
      </w:r>
      <w:bookmarkEnd w:id="9"/>
    </w:p>
    <w:p>
      <w:r>
        <w:rPr>
          <w:b w:val="0"/>
        </w:rPr>
        <w:t>基线肌酐、时间及适龄公式；新生儿母体影响按临床解释。实际报告按上述字段保存；无适龄参考依据时只复述原值与报告标识，不凭记忆补范围。</w:t>
      </w:r>
    </w:p>
    <w:p>
      <w:bookmarkStart w:id="10" w:name="S0010"/>
      <w:pPr>
        <w:pStyle w:val="Heading2"/>
      </w:pPr>
      <w:r>
        <w:t>06 电解质</w:t>
      </w:r>
      <w:bookmarkEnd w:id="10"/>
    </w:p>
    <w:p>
      <w:r>
        <w:rPr>
          <w:b w:val="0"/>
        </w:rPr>
        <w:t>单位、溶血、采血部位输液污染和重复复核。实际报告按上述字段保存；无适龄参考依据时只复述原值与报告标识，不凭记忆补范围。</w:t>
      </w:r>
    </w:p>
    <w:p>
      <w:bookmarkStart w:id="11" w:name="S0011"/>
      <w:pPr>
        <w:pStyle w:val="Heading2"/>
      </w:pPr>
      <w:r>
        <w:t>07 血糖</w:t>
      </w:r>
      <w:bookmarkEnd w:id="11"/>
    </w:p>
    <w:p>
      <w:r>
        <w:rPr>
          <w:b w:val="0"/>
        </w:rPr>
        <w:t>床旁/实验室、全血/血浆、进食及采样时点。实际报告按上述字段保存；无适龄参考依据时只复述原值与报告标识，不凭记忆补范围。</w:t>
      </w:r>
    </w:p>
    <w:p>
      <w:bookmarkStart w:id="12" w:name="S0012"/>
      <w:pPr>
        <w:pStyle w:val="Heading2"/>
      </w:pPr>
      <w:r>
        <w:t>08 血气</w:t>
      </w:r>
      <w:bookmarkEnd w:id="12"/>
    </w:p>
    <w:p>
      <w:r>
        <w:rPr>
          <w:b w:val="0"/>
        </w:rPr>
        <w:t>动静脉/毛细血、温度及同期FiO2支持条件。实际报告按上述字段保存；无适龄参考依据时只复述原值与报告标识，不凭记忆补范围。</w:t>
      </w:r>
    </w:p>
    <w:p>
      <w:bookmarkStart w:id="13" w:name="S0013"/>
      <w:pPr>
        <w:pStyle w:val="Heading2"/>
      </w:pPr>
      <w:r>
        <w:t>09 乳酸</w:t>
      </w:r>
      <w:bookmarkEnd w:id="13"/>
    </w:p>
    <w:p>
      <w:r>
        <w:rPr>
          <w:b w:val="0"/>
        </w:rPr>
        <w:t>采血困难、灌注与动态，单高值不等休克。实际报告按上述字段保存；无适龄参考依据时只复述原值与报告标识，不凭记忆补范围。</w:t>
      </w:r>
    </w:p>
    <w:p>
      <w:bookmarkStart w:id="14" w:name="S0014"/>
      <w:pPr>
        <w:pStyle w:val="Heading2"/>
      </w:pPr>
      <w:r>
        <w:t>10 凝血功能</w:t>
      </w:r>
      <w:bookmarkEnd w:id="14"/>
    </w:p>
    <w:p>
      <w:r>
        <w:rPr>
          <w:b w:val="0"/>
        </w:rPr>
        <w:t>标本、年龄和药物；异常与出血事件分开。实际报告按上述字段保存；无适龄参考依据时只复述原值与报告标识，不凭记忆补范围。</w:t>
      </w:r>
    </w:p>
    <w:p>
      <w:bookmarkStart w:id="15" w:name="S0015"/>
      <w:pPr>
        <w:pStyle w:val="Heading2"/>
      </w:pPr>
      <w:r>
        <w:t>11 尿常规</w:t>
      </w:r>
      <w:bookmarkEnd w:id="15"/>
    </w:p>
    <w:p>
      <w:r>
        <w:rPr>
          <w:b w:val="0"/>
        </w:rPr>
        <w:t>取样方式、尿沉渣和污染。实际报告按上述字段保存；无适龄参考依据时只复述原值与报告标识，不凭记忆补范围。</w:t>
      </w:r>
    </w:p>
    <w:p>
      <w:bookmarkStart w:id="16" w:name="S0016"/>
      <w:pPr>
        <w:pStyle w:val="Heading2"/>
      </w:pPr>
      <w:r>
        <w:t>12 大便常规</w:t>
      </w:r>
      <w:bookmarkEnd w:id="16"/>
    </w:p>
    <w:p>
      <w:r>
        <w:rPr>
          <w:b w:val="0"/>
        </w:rPr>
        <w:t>症状及采样，白细胞不独立确诊细菌肠炎。实际报告按上述字段保存；无适龄参考依据时只复述原值与报告标识，不凭记忆补范围。</w:t>
      </w:r>
    </w:p>
    <w:p>
      <w:bookmarkStart w:id="17" w:name="S0017"/>
      <w:pPr>
        <w:pStyle w:val="Heading2"/>
      </w:pPr>
      <w:r>
        <w:t>13 尿液及粪便病原学</w:t>
      </w:r>
      <w:bookmarkEnd w:id="17"/>
    </w:p>
    <w:p>
      <w:r>
        <w:rPr>
          <w:b w:val="0"/>
        </w:rPr>
        <w:t>标本质量、临床对应与定植。实际报告按上述字段保存；无适龄参考依据时只复述原值与报告标识，不凭记忆补范围。</w:t>
      </w:r>
    </w:p>
    <w:p>
      <w:bookmarkStart w:id="18" w:name="S0018"/>
      <w:pPr>
        <w:pStyle w:val="Heading2"/>
      </w:pPr>
      <w:r>
        <w:t>14 其他儿科专科检验</w:t>
      </w:r>
      <w:bookmarkEnd w:id="18"/>
    </w:p>
    <w:p>
      <w:r>
        <w:rPr>
          <w:b w:val="0"/>
        </w:rPr>
        <w:t>有原始方法区间及适龄解释才给结论。实际报告按上述字段保存；无适龄参考依据时只复述原值与报告标识，不凭记忆补范围。</w:t>
      </w:r>
    </w:p>
    <w:p>
      <w:bookmarkStart w:id="19" w:name="S0019"/>
      <w:pPr>
        <w:pStyle w:val="Heading2"/>
      </w:pPr>
      <w:r>
        <w:t>15 呼吸道病毒检测</w:t>
      </w:r>
      <w:bookmarkEnd w:id="19"/>
    </w:p>
    <w:p>
      <w:r>
        <w:rPr>
          <w:b w:val="0"/>
        </w:rPr>
        <w:t>标本部位、方法和时程，检出不排共感染。实际报告按上述字段保存；无适龄参考依据时只复述原值与报告标识，不凭记忆补范围。</w:t>
      </w:r>
    </w:p>
    <w:p>
      <w:bookmarkStart w:id="20" w:name="S0020"/>
      <w:pPr>
        <w:pStyle w:val="Heading2"/>
      </w:pPr>
      <w:r>
        <w:t>16 肺炎支原体相关检查</w:t>
      </w:r>
      <w:bookmarkEnd w:id="20"/>
    </w:p>
    <w:p>
      <w:r>
        <w:rPr>
          <w:b w:val="0"/>
        </w:rPr>
        <w:t>核酸抗体组合、持续检出和当前肺炎证据。实际报告按上述字段保存；无适龄参考依据时只复述原值与报告标识，不凭记忆补范围。</w:t>
      </w:r>
    </w:p>
    <w:p>
      <w:bookmarkStart w:id="21" w:name="S0021"/>
      <w:pPr>
        <w:pStyle w:val="Heading2"/>
      </w:pPr>
      <w:r>
        <w:t>17 细菌培养和药敏</w:t>
      </w:r>
      <w:bookmarkEnd w:id="21"/>
    </w:p>
    <w:p>
      <w:r>
        <w:rPr>
          <w:b w:val="0"/>
        </w:rPr>
        <w:t>部位、取样前抗菌、污染/定植/感染及药敏方法。实际报告按上述字段保存；无适龄参考依据时只复述原值与报告标识，不凭记忆补范围。</w:t>
      </w:r>
    </w:p>
    <w:p>
      <w:bookmarkStart w:id="22" w:name="S0022"/>
      <w:pPr>
        <w:pStyle w:val="Heading2"/>
      </w:pPr>
      <w:r>
        <w:t>18 血培养</w:t>
      </w:r>
      <w:bookmarkEnd w:id="22"/>
    </w:p>
    <w:p>
      <w:r>
        <w:rPr>
          <w:b w:val="0"/>
        </w:rPr>
        <w:t>瓶组、采样部位与通路，单瓶阳性的污染风险不能忽视。实际报告按上述字段保存；无适龄参考依据时只复述原值与报告标识，不凭记忆补范围。</w:t>
      </w:r>
    </w:p>
    <w:p>
      <w:bookmarkStart w:id="23" w:name="S0023"/>
      <w:pPr>
        <w:pStyle w:val="Heading2"/>
      </w:pPr>
      <w:r>
        <w:t>19 脑脊液检查</w:t>
      </w:r>
      <w:bookmarkEnd w:id="23"/>
    </w:p>
    <w:p>
      <w:r>
        <w:rPr>
          <w:b w:val="0"/>
        </w:rPr>
        <w:t>实际腰穿时间、先用药、红细胞污染和同步血糖。实际报告按上述字段保存；无适龄参考依据时只复述原值与报告标识，不凭记忆补范围。</w:t>
      </w:r>
    </w:p>
    <w:p>
      <w:bookmarkStart w:id="24" w:name="S0024"/>
      <w:pPr>
        <w:pStyle w:val="Heading2"/>
      </w:pPr>
      <w:r>
        <w:t>20 尿培养</w:t>
      </w:r>
      <w:bookmarkEnd w:id="24"/>
    </w:p>
    <w:p>
      <w:r>
        <w:rPr>
          <w:b w:val="0"/>
        </w:rPr>
        <w:t>清洁中段、导尿等方式与菌落解释，不凭袋尿直接确证。实际报告按上述字段保存；无适龄参考依据时只复述原值与报告标识，不凭记忆补范围。</w:t>
      </w:r>
    </w:p>
    <w:p>
      <w:bookmarkStart w:id="25" w:name="S0025"/>
      <w:pPr>
        <w:pStyle w:val="Heading2"/>
      </w:pPr>
      <w:r>
        <w:t>21 肠道病原学</w:t>
      </w:r>
      <w:bookmarkEnd w:id="25"/>
    </w:p>
    <w:p>
      <w:r>
        <w:rPr>
          <w:b w:val="0"/>
        </w:rPr>
        <w:t>检出与肠炎病因关联，携带和感染区别。实际报告按上述字段保存；无适龄参考依据时只复述原值与报告标识，不凭记忆补范围。</w:t>
      </w:r>
    </w:p>
    <w:p>
      <w:bookmarkStart w:id="26" w:name="S0026"/>
      <w:pPr>
        <w:pStyle w:val="Heading2"/>
      </w:pPr>
      <w:r>
        <w:t>22 其他感染相关检查</w:t>
      </w:r>
      <w:bookmarkEnd w:id="26"/>
    </w:p>
    <w:p>
      <w:r>
        <w:rPr>
          <w:b w:val="0"/>
        </w:rPr>
        <w:t>阶段、宿主免疫状态和检测性能。实际报告按上述字段保存；无适龄参考依据时只复述原值与报告标识，不凭记忆补范围。</w:t>
      </w:r>
    </w:p>
    <w:p>
      <w:bookmarkStart w:id="27" w:name="S0027"/>
      <w:pPr>
        <w:pStyle w:val="Heading2"/>
      </w:pPr>
      <w:r>
        <w:t>23 胸部X线</w:t>
      </w:r>
      <w:bookmarkEnd w:id="27"/>
    </w:p>
    <w:p>
      <w:r>
        <w:rPr>
          <w:b w:val="0"/>
        </w:rPr>
        <w:t>部位、投照与原文，阴影不等细菌病因。实际报告按上述字段保存；无适龄参考依据时只复述原值与报告标识，不凭记忆补范围。</w:t>
      </w:r>
    </w:p>
    <w:p>
      <w:bookmarkStart w:id="28" w:name="S0028"/>
      <w:pPr>
        <w:pStyle w:val="Heading2"/>
      </w:pPr>
      <w:r>
        <w:t>24 胸部CT</w:t>
      </w:r>
      <w:bookmarkEnd w:id="28"/>
    </w:p>
    <w:p>
      <w:r>
        <w:rPr>
          <w:b w:val="0"/>
        </w:rPr>
        <w:t>适应证、辐射镇静风险和原报告，不自动复查。实际报告按上述字段保存；无适龄参考依据时只复述原值与报告标识，不凭记忆补范围。</w:t>
      </w:r>
    </w:p>
    <w:p>
      <w:bookmarkStart w:id="29" w:name="S0029"/>
      <w:pPr>
        <w:pStyle w:val="Heading2"/>
      </w:pPr>
      <w:r>
        <w:t>25 腹部超声</w:t>
      </w:r>
      <w:bookmarkEnd w:id="29"/>
    </w:p>
    <w:p>
      <w:r>
        <w:rPr>
          <w:b w:val="0"/>
        </w:rPr>
        <w:t>病灶部位与肠胆肝胰等定位，阴性有检查限制。实际报告按上述字段保存；无适龄参考依据时只复述原值与报告标识，不凭记忆补范围。</w:t>
      </w:r>
    </w:p>
    <w:p>
      <w:bookmarkStart w:id="30" w:name="S0030"/>
      <w:pPr>
        <w:pStyle w:val="Heading2"/>
      </w:pPr>
      <w:r>
        <w:t>26 心脏超声</w:t>
      </w:r>
      <w:bookmarkEnd w:id="30"/>
    </w:p>
    <w:p>
      <w:r>
        <w:rPr>
          <w:b w:val="0"/>
        </w:rPr>
        <w:t>结构、血流动力学与功能分开；原测值不擅自生成Z值。实际报告按上述字段保存；无适龄参考依据时只复述原值与报告标识，不凭记忆补范围。</w:t>
      </w:r>
    </w:p>
    <w:p>
      <w:bookmarkStart w:id="31" w:name="S0031"/>
      <w:pPr>
        <w:pStyle w:val="Heading2"/>
      </w:pPr>
      <w:r>
        <w:t>27 颅脑超声</w:t>
      </w:r>
      <w:bookmarkEnd w:id="31"/>
    </w:p>
    <w:p>
      <w:r>
        <w:rPr>
          <w:b w:val="0"/>
        </w:rPr>
        <w:t>胎龄、日龄、序列变化和原分级。实际报告按上述字段保存；无适龄参考依据时只复述原值与报告标识，不凭记忆补范围。</w:t>
      </w:r>
    </w:p>
    <w:p>
      <w:bookmarkStart w:id="32" w:name="S0032"/>
      <w:pPr>
        <w:pStyle w:val="Heading2"/>
      </w:pPr>
      <w:r>
        <w:t>28 颅脑MRI</w:t>
      </w:r>
      <w:bookmarkEnd w:id="32"/>
    </w:p>
    <w:p>
      <w:r>
        <w:rPr>
          <w:b w:val="0"/>
        </w:rPr>
        <w:t>实际序列部位及病程阶段，不由信号单独确定病因。实际报告按上述字段保存；无适龄参考依据时只复述原值与报告标识，不凭记忆补范围。</w:t>
      </w:r>
    </w:p>
    <w:p>
      <w:bookmarkStart w:id="33" w:name="S0033"/>
      <w:pPr>
        <w:pStyle w:val="Heading2"/>
      </w:pPr>
      <w:r>
        <w:t>29 泌尿系超声</w:t>
      </w:r>
      <w:bookmarkEnd w:id="33"/>
    </w:p>
    <w:p>
      <w:r>
        <w:rPr>
          <w:b w:val="0"/>
        </w:rPr>
        <w:t>结构、扩张和功能不能等同。实际报告按上述字段保存；无适龄参考依据时只复述原值与报告标识，不凭记忆补范围。</w:t>
      </w:r>
    </w:p>
    <w:p>
      <w:bookmarkStart w:id="34" w:name="S0034"/>
      <w:pPr>
        <w:pStyle w:val="Heading2"/>
      </w:pPr>
      <w:r>
        <w:t>30 骨骼及其他系统影像</w:t>
      </w:r>
      <w:bookmarkEnd w:id="34"/>
    </w:p>
    <w:p>
      <w:r>
        <w:rPr>
          <w:b w:val="0"/>
        </w:rPr>
        <w:t>实际年龄与骨龄分开，影像不能替代查体。实际报告按上述字段保存；无适龄参考依据时只复述原值与报告标识，不凭记忆补范围。</w:t>
      </w:r>
    </w:p>
    <w:p>
      <w:bookmarkStart w:id="35" w:name="S0035"/>
      <w:pPr>
        <w:pStyle w:val="Heading2"/>
      </w:pPr>
      <w:r>
        <w:t>31 新生儿相关特殊影像</w:t>
      </w:r>
      <w:bookmarkEnd w:id="35"/>
    </w:p>
    <w:p>
      <w:r>
        <w:rPr>
          <w:b w:val="0"/>
        </w:rPr>
        <w:t>对应胎龄和时点，不能用较大儿童阈值。实际报告按上述字段保存；无适龄参考依据时只复述原值与报告标识，不凭记忆补范围。</w:t>
      </w:r>
    </w:p>
    <w:p>
      <w:bookmarkStart w:id="36" w:name="S0036"/>
      <w:pPr>
        <w:pStyle w:val="Heading2"/>
      </w:pPr>
      <w:r>
        <w:t>32 脑电图</w:t>
      </w:r>
      <w:bookmarkEnd w:id="36"/>
    </w:p>
    <w:p>
      <w:r>
        <w:rPr>
          <w:b w:val="0"/>
        </w:rPr>
        <w:t>临床事件、睡眠觉醒和用药背景，异常不等癫痫。实际报告按上述字段保存；无适龄参考依据时只复述原值与报告标识，不凭记忆补范围。</w:t>
      </w:r>
    </w:p>
    <w:p>
      <w:bookmarkStart w:id="37" w:name="S0037"/>
      <w:pPr>
        <w:pStyle w:val="Heading2"/>
      </w:pPr>
      <w:r>
        <w:t>33 动态脑电图</w:t>
      </w:r>
      <w:bookmarkEnd w:id="37"/>
    </w:p>
    <w:p>
      <w:r>
        <w:rPr>
          <w:b w:val="0"/>
        </w:rPr>
        <w:t>记录时长、捕获事件与电临床对应。实际报告按上述字段保存；无适龄参考依据时只复述原值与报告标识，不凭记忆补范围。</w:t>
      </w:r>
    </w:p>
    <w:p>
      <w:bookmarkStart w:id="38" w:name="S0038"/>
      <w:pPr>
        <w:pStyle w:val="Heading2"/>
      </w:pPr>
      <w:r>
        <w:t>34 心电图</w:t>
      </w:r>
      <w:bookmarkEnd w:id="38"/>
    </w:p>
    <w:p>
      <w:r>
        <w:rPr>
          <w:b w:val="0"/>
        </w:rPr>
        <w:t>节律传导及适龄间期，机器结论需医师核对。实际报告按上述字段保存；无适龄参考依据时只复述原值与报告标识，不凭记忆补范围。</w:t>
      </w:r>
    </w:p>
    <w:p>
      <w:bookmarkStart w:id="39" w:name="S0039"/>
      <w:pPr>
        <w:pStyle w:val="Heading2"/>
      </w:pPr>
      <w:r>
        <w:t>35 动态心电图</w:t>
      </w:r>
      <w:bookmarkEnd w:id="39"/>
    </w:p>
    <w:p>
      <w:r>
        <w:rPr>
          <w:b w:val="0"/>
        </w:rPr>
        <w:t>总时长、症状关联和伪差。实际报告按上述字段保存；无适龄参考依据时只复述原值与报告标识，不凭记忆补范围。</w:t>
      </w:r>
    </w:p>
    <w:p>
      <w:bookmarkStart w:id="40" w:name="S0040"/>
      <w:pPr>
        <w:pStyle w:val="Heading2"/>
      </w:pPr>
      <w:r>
        <w:t>36 儿童肺功能</w:t>
      </w:r>
      <w:bookmarkEnd w:id="40"/>
    </w:p>
    <w:p>
      <w:r>
        <w:rPr>
          <w:b w:val="0"/>
        </w:rPr>
        <w:t>方法、年龄、合作质量、身高与参考方程。实际报告按上述字段保存；无适龄参考依据时只复述原值与报告标识，不凭记忆补范围。</w:t>
      </w:r>
    </w:p>
    <w:p>
      <w:bookmarkStart w:id="41" w:name="S0041"/>
      <w:pPr>
        <w:pStyle w:val="Heading2"/>
      </w:pPr>
      <w:r>
        <w:t>37 心脏相关特殊检查</w:t>
      </w:r>
      <w:bookmarkEnd w:id="41"/>
    </w:p>
    <w:p>
      <w:r>
        <w:rPr>
          <w:b w:val="0"/>
        </w:rPr>
        <w:t>导管压力/阻力等必须有实际测量。实际报告按上述字段保存；无适龄参考依据时只复述原值与报告标识，不凭记忆补范围。</w:t>
      </w:r>
    </w:p>
    <w:p>
      <w:bookmarkStart w:id="42" w:name="S0042"/>
      <w:pPr>
        <w:pStyle w:val="Heading2"/>
      </w:pPr>
      <w:r>
        <w:t>38 新生儿听力筛查及诊断性检查</w:t>
      </w:r>
      <w:bookmarkEnd w:id="42"/>
    </w:p>
    <w:p>
      <w:r>
        <w:rPr>
          <w:b w:val="0"/>
        </w:rPr>
        <w:t>筛查未通过与诊断性听损分开，复查责任闭环。实际报告按上述字段保存；无适龄参考依据时只复述原值与报告标识，不凭记忆补范围。</w:t>
      </w:r>
    </w:p>
    <w:p>
      <w:bookmarkStart w:id="43" w:name="S0043"/>
      <w:pPr>
        <w:pStyle w:val="Heading2"/>
      </w:pPr>
      <w:r>
        <w:t>39 其他实际完成专科检查</w:t>
      </w:r>
      <w:bookmarkEnd w:id="43"/>
    </w:p>
    <w:p>
      <w:r>
        <w:rPr>
          <w:b w:val="0"/>
        </w:rPr>
        <w:t>计划不等检查完成，已完成不等结果已回。实际报告按上述字段保存；无适龄参考依据时只复述原值与报告标识，不凭记忆补范围。</w:t>
      </w:r>
    </w:p>
    <w:p>
      <w:bookmarkStart w:id="44" w:name="S0044"/>
      <w:pPr>
        <w:pStyle w:val="Heading2"/>
      </w:pPr>
      <w:r>
        <w:t>40 新生儿疾病筛查</w:t>
      </w:r>
      <w:bookmarkEnd w:id="44"/>
    </w:p>
    <w:p>
      <w:r>
        <w:rPr>
          <w:b w:val="0"/>
        </w:rPr>
        <w:t>采样日龄胎龄、喂养输血和召回，阳性不等确诊。实际报告按上述字段保存；无适龄参考依据时只复述原值与报告标识，不凭记忆补范围。</w:t>
      </w:r>
    </w:p>
    <w:p>
      <w:bookmarkStart w:id="45" w:name="S0045"/>
      <w:pPr>
        <w:pStyle w:val="Heading2"/>
      </w:pPr>
      <w:r>
        <w:t>41 血氨</w:t>
      </w:r>
      <w:bookmarkEnd w:id="45"/>
    </w:p>
    <w:p>
      <w:r>
        <w:rPr>
          <w:b w:val="0"/>
        </w:rPr>
        <w:t>前处理和送检时间，显著异常需临床及时处理。实际报告按上述字段保存；无适龄参考依据时只复述原值与报告标识，不凭记忆补范围。</w:t>
      </w:r>
    </w:p>
    <w:p>
      <w:bookmarkStart w:id="46" w:name="S0046"/>
      <w:pPr>
        <w:pStyle w:val="Heading2"/>
      </w:pPr>
      <w:r>
        <w:t>42 血乳酸</w:t>
      </w:r>
      <w:bookmarkEnd w:id="46"/>
    </w:p>
    <w:p>
      <w:r>
        <w:rPr>
          <w:b w:val="0"/>
        </w:rPr>
        <w:t>代谢与灌注等多因，不单独定位遗传病。实际报告按上述字段保存；无适龄参考依据时只复述原值与报告标识，不凭记忆补范围。</w:t>
      </w:r>
    </w:p>
    <w:p>
      <w:bookmarkStart w:id="47" w:name="S0047"/>
      <w:pPr>
        <w:pStyle w:val="Heading2"/>
      </w:pPr>
      <w:r>
        <w:t>43 血串联质谱</w:t>
      </w:r>
      <w:bookmarkEnd w:id="47"/>
    </w:p>
    <w:p>
      <w:r>
        <w:rPr>
          <w:b w:val="0"/>
        </w:rPr>
        <w:t>筛查模式、喂养及确证试验。实际报告按上述字段保存；无适龄参考依据时只复述原值与报告标识，不凭记忆补范围。</w:t>
      </w:r>
    </w:p>
    <w:p>
      <w:bookmarkStart w:id="48" w:name="S0048"/>
      <w:pPr>
        <w:pStyle w:val="Heading2"/>
      </w:pPr>
      <w:r>
        <w:t>44 尿有机酸分析</w:t>
      </w:r>
      <w:bookmarkEnd w:id="48"/>
    </w:p>
    <w:p>
      <w:r>
        <w:rPr>
          <w:b w:val="0"/>
        </w:rPr>
        <w:t>急性与间歇采样、特征谱和临床匹配。实际报告按上述字段保存；无适龄参考依据时只复述原值与报告标识，不凭记忆补范围。</w:t>
      </w:r>
    </w:p>
    <w:p>
      <w:bookmarkStart w:id="49" w:name="S0049"/>
      <w:pPr>
        <w:pStyle w:val="Heading2"/>
      </w:pPr>
      <w:r>
        <w:t>45 染色体检查</w:t>
      </w:r>
      <w:bookmarkEnd w:id="49"/>
    </w:p>
    <w:p>
      <w:r>
        <w:rPr>
          <w:b w:val="0"/>
        </w:rPr>
        <w:t>核型、分辨率、嵌合及实际结论。实际报告按上述字段保存；无适龄参考依据时只复述原值与报告标识，不凭记忆补范围。</w:t>
      </w:r>
    </w:p>
    <w:p>
      <w:bookmarkStart w:id="50" w:name="S0050"/>
      <w:pPr>
        <w:pStyle w:val="Heading2"/>
      </w:pPr>
      <w:r>
        <w:t>46 染色体微阵列检测</w:t>
      </w:r>
      <w:bookmarkEnd w:id="50"/>
    </w:p>
    <w:p>
      <w:r>
        <w:rPr>
          <w:b w:val="0"/>
        </w:rPr>
        <w:t>拷贝数、片段、数据库和致病性版本。实际报告按上述字段保存；无适龄参考依据时只复述原值与报告标识，不凭记忆补范围。</w:t>
      </w:r>
    </w:p>
    <w:p>
      <w:bookmarkStart w:id="51" w:name="S0051"/>
      <w:pPr>
        <w:pStyle w:val="Heading2"/>
      </w:pPr>
      <w:r>
        <w:t>47 基因检测</w:t>
      </w:r>
      <w:bookmarkEnd w:id="51"/>
    </w:p>
    <w:p>
      <w:r>
        <w:rPr>
          <w:b w:val="0"/>
        </w:rPr>
        <w:t>位点、转录本、杂合性、遗传方式及分类日期，VUS不得写致病确证。实际报告按上述字段保存；无适龄参考依据时只复述原值与报告标识，不凭记忆补范围。</w:t>
      </w:r>
    </w:p>
    <w:p>
      <w:bookmarkStart w:id="52" w:name="S0052"/>
      <w:pPr>
        <w:pStyle w:val="Heading2"/>
      </w:pPr>
      <w:r>
        <w:t>48 其他遗传代谢检查</w:t>
      </w:r>
      <w:bookmarkEnd w:id="52"/>
    </w:p>
    <w:p>
      <w:r>
        <w:rPr>
          <w:b w:val="0"/>
        </w:rPr>
        <w:t>方法范围、阴性检出限制及表型重分析。实际报告按上述字段保存；无适龄参考依据时只复述原值与报告标识，不凭记忆补范围。</w:t>
      </w:r>
    </w:p>
    <w:p>
      <w:bookmarkStart w:id="53" w:name="S0053"/>
      <w:pPr>
        <w:pStyle w:val="Heading1"/>
      </w:pPr>
      <w:r>
        <w:t>新生儿胆红素专用判读门槛</w:t>
      </w:r>
      <w:bookmarkEnd w:id="53"/>
    </w:p>
    <w:p>
      <w:r>
        <w:rPr>
          <w:b w:val="0"/>
        </w:rPr>
        <w:t>逐次存储出生时刻、采样时刻、生后小时龄、出生胎龄、TSB、TcB、直接胆红素、单位、样本类型、风险因素及光疗执行。TcB不能自动当TSB；外观黄染不量化数值。出生时刻只有日期或采样时间不明时，不能精确定位小时龄阈值。TSB的μmol/L与mg/dL换算需明确使用系数，原值原单位永久保留。不能将小时龄百分位风险列线图当作治疗阈值图；小于35周不能套≥35周图。必须加载正式指南对应胎龄和危险因素原图，核图号、版本、适用范围及是否有勘误后才比较光疗或换血门槛。此版未录入完整阈值曲线，不自动得出应光疗或应换血的定量结论；可整理风险与需医师核对的原始值。</w:t>
      </w:r>
    </w:p>
    <w:p>
      <w:bookmarkStart w:id="54" w:name="S0054"/>
      <w:pPr>
        <w:pStyle w:val="Heading1"/>
      </w:pPr>
      <w:r>
        <w:t>诊断修正与回报模板</w:t>
      </w:r>
      <w:bookmarkEnd w:id="54"/>
    </w:p>
    <w:p>
      <w:r>
        <w:rPr>
          <w:b w:val="0"/>
        </w:rPr>
        <w:t>【文书日期及时间】 检查原始报告整理</w:t>
      </w:r>
    </w:p>
    <w:p>
      <w:pPr>
        <w:pStyle w:val="CodeText"/>
      </w:pPr>
      <w:r>
        <w:t>```text</w:t>
      </w:r>
    </w:p>
    <w:p>
      <w:pPr>
        <w:pStyle w:val="CodeText"/>
      </w:pPr>
      <w:r>
        <w:t>检查名称及标本：【原名及部位】</w:t>
      </w:r>
    </w:p>
    <w:p>
      <w:pPr>
        <w:pStyle w:val="CodeText"/>
      </w:pPr>
      <w:r>
        <w:t>采样或检查时间：【实际】</w:t>
      </w:r>
    </w:p>
    <w:p>
      <w:pPr>
        <w:pStyle w:val="CodeText"/>
      </w:pPr>
      <w:r>
        <w:t>报告及实际可知时间：【实际】</w:t>
      </w:r>
    </w:p>
    <w:p>
      <w:pPr>
        <w:pStyle w:val="CodeText"/>
      </w:pPr>
      <w:r>
        <w:t>结果及单位：【核实原文】</w:t>
      </w:r>
    </w:p>
    <w:p>
      <w:pPr>
        <w:pStyle w:val="CodeText"/>
      </w:pPr>
      <w:r>
        <w:t>参考区间：【原报告及适用说明】</w:t>
      </w:r>
    </w:p>
    <w:p>
      <w:pPr>
        <w:pStyle w:val="CodeText"/>
      </w:pPr>
      <w:r>
        <w:t>所见与意见：【原文及不确定词】</w:t>
      </w:r>
    </w:p>
    <w:p>
      <w:pPr>
        <w:pStyle w:val="CodeText"/>
      </w:pPr>
      <w:r>
        <w:t>```</w:t>
      </w:r>
    </w:p>
    <w:p>
      <w:r>
        <w:rPr>
          <w:b w:val="0"/>
        </w:rPr>
        <w:t>【文书日期及时间】 检查结果临床分析</w:t>
      </w:r>
    </w:p>
    <w:p>
      <w:pPr>
        <w:pStyle w:val="CodeText"/>
      </w:pPr>
      <w:r>
        <w:t>```text</w:t>
      </w:r>
    </w:p>
    <w:p>
      <w:pPr>
        <w:pStyle w:val="CodeText"/>
      </w:pPr>
      <w:r>
        <w:t>【实际日期项目】回报【原结果和单位】，按【年龄胎龄日龄、方法及适用区间】评价【有依据的异常或限制】。与【真实症状实查】对应，支持【当前诊断及确定度】，尚不能确定【缺口】。医师据此【实际诊断修正或计划】，后续【复核及未回结果安排】。</w:t>
      </w:r>
    </w:p>
    <w:p>
      <w:pPr>
        <w:pStyle w:val="CodeText"/>
      </w:pPr>
      <w:r>
        <w:t>```</w:t>
      </w:r>
    </w:p>
    <w:p>
      <w:bookmarkStart w:id="55" w:name="S0055"/>
      <w:pPr>
        <w:pStyle w:val="Heading1"/>
      </w:pPr>
      <w:r>
        <w:t>完整虚构病例与输出示例</w:t>
      </w:r>
      <w:bookmarkEnd w:id="55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02；本次住院：SIM-E02。目标文书时点：2026-10-30T11:00:00+08:00。出生：2026-10-28T11:00:00+08:00；胎龄：38周0天。实际体重：3.0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病史及当前临床资料：同一血清胆红素结果须对应采样时小时龄和出生胎龄，不能仅凭单值判断光疗。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调用：00→01→11→04→101→10。模拟结果仅演示事实和格式；实际患者需重新运行10。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同一血清胆红素结果须对应采样时小时龄和出生胎龄，不能仅凭单值判断光疗。</w:t>
      </w:r>
    </w:p>
    <w:p>
      <w:pPr>
        <w:pStyle w:val="CodeText"/>
      </w:pPr>
      <w:r>
        <w:t>```</w:t>
      </w:r>
    </w:p>
    <w:p>
      <w:bookmarkStart w:id="56" w:name="S0056"/>
      <w:pPr>
        <w:pStyle w:val="Heading1"/>
      </w:pPr>
      <w:r>
        <w:t>医学真实性边界 常见错误与模块协同</w:t>
      </w:r>
      <w:bookmarkEnd w:id="56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57" w:name="S0057"/>
      <w:pPr>
        <w:pStyle w:val="Heading1"/>
      </w:pPr>
      <w:r>
        <w:t>模块质量控制清单</w:t>
      </w:r>
      <w:bookmarkEnd w:id="57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58" w:name="S0058"/>
      <w:pPr>
        <w:pStyle w:val="Heading1"/>
      </w:pPr>
      <w:r>
        <w:t>指南规范及证据来源</w:t>
      </w:r>
      <w:bookmarkEnd w:id="58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59" w:name="S0059"/>
      <w:pPr>
        <w:pStyle w:val="Heading2"/>
      </w:pPr>
      <w:r>
        <w:t>R07 儿童血细胞分析参考区间</w:t>
      </w:r>
      <w:bookmarkEnd w:id="59"/>
    </w:p>
    <w:p>
      <w:r>
        <w:rPr>
          <w:b w:val="0"/>
        </w:rPr>
        <w:t>发布机构：国家卫生健康委。正式年份及实际版本：WS/T 779—2021。资料性质：卫生行业标准。适用年龄和人群：28天～18岁 不含生后0～27天。本次核验范围：官方标准范围。可用关键证据及限制：静脉血和末梢血、年龄及适用性要核对，新生儿另用经实验室验证的参考区间。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60" w:name="S0060"/>
      <w:pPr>
        <w:pStyle w:val="Heading2"/>
      </w:pPr>
      <w:r>
        <w:t>R08 儿童临床常用生化检验项目参考区间</w:t>
      </w:r>
      <w:bookmarkEnd w:id="60"/>
    </w:p>
    <w:p>
      <w:r>
        <w:rPr>
          <w:b w:val="0"/>
        </w:rPr>
        <w:t>发布机构：国家卫生健康委。正式年份及实际版本：WS/T 780—2021。资料性质：卫生行业标准。适用年龄和人群：标准列明的儿童年龄及检测项目。本次核验范围：官方PDF应用条款。可用关键证据及限制：实验室方法与人群适用性需验证，不能把统一成人区间套入。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61" w:name="S0061"/>
      <w:pPr>
        <w:pStyle w:val="Heading2"/>
      </w:pPr>
      <w:r>
        <w:t>R09 新生儿高胆红素血症诊治指南（2025）</w:t>
      </w:r>
      <w:bookmarkEnd w:id="61"/>
    </w:p>
    <w:p>
      <w:r>
        <w:rPr>
          <w:b w:val="0"/>
        </w:rPr>
        <w:t>发布机构：中华医学会儿科学分会新生儿学组 中华儿科杂志编辑委员会。正式年份及实际版本：2025 中华儿科杂志63卷4期338～350页 DOI10.3760/cma.j.cn112140-20241231-00944。资料性质：正式指南。适用年龄和人群：新生儿 各图表有胎龄限制。本次核验范围：学会官网原始题录已核验 正文以图像提供 全部阈值图未逐点核验。可用关键证据及限制：只启用小时龄、胎龄、TSB/TcB分离等证据字段；光疗换血阈值须另取本指南适用原图核对。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62" w:name="S0062"/>
      <w:pPr>
        <w:pStyle w:val="Heading2"/>
      </w:pPr>
      <w:r>
        <w:t>R37 新生儿疾病筛查管理办法</w:t>
      </w:r>
      <w:bookmarkEnd w:id="62"/>
    </w:p>
    <w:p>
      <w:r>
        <w:rPr>
          <w:b w:val="0"/>
        </w:rPr>
        <w:t>发布机构：卫生部。正式年份及实际版本：2009 部令第64号 官网法规页2018。资料性质：部门规章。适用年龄和人群：新生儿筛查服务。本次核验范围：官方条文。可用关键证据及限制：采样、检测、阳性召回、确诊及治疗分别管理，筛查不替代确诊。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63" w:name="S0063"/>
      <w:pPr>
        <w:pStyle w:val="Heading2"/>
      </w:pPr>
      <w:r>
        <w:t>尚待补齐的来源</w:t>
      </w:r>
      <w:bookmarkEnd w:id="63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64" w:name="S0064"/>
      <w:pPr>
        <w:pStyle w:val="Heading1"/>
      </w:pPr>
      <w:r>
        <w:t>版本更新与维护说明</w:t>
      </w:r>
      <w:bookmarkEnd w:id="64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s9492/202105/a85d8b64e0384c98aed8f3157860ee44.shtml" TargetMode="External"/><Relationship Id="rId12" Type="http://schemas.openxmlformats.org/officeDocument/2006/relationships/hyperlink" Target="https://www.nhc.gov.cn/fzs/c100048/202105/481e639c307a4effa14957f4d0d738fd/files/1733125306220_90260.pdf" TargetMode="External"/><Relationship Id="rId13" Type="http://schemas.openxmlformats.org/officeDocument/2006/relationships/hyperlink" Target="https://cspm.cma.org.cn/index/news?id=3718" TargetMode="External"/><Relationship Id="rId14" Type="http://schemas.openxmlformats.org/officeDocument/2006/relationships/hyperlink" Target="https://www.nhc.gov.cn/fzs/c100048/201808/1c2e7c86802d4519824c26855979c064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儿科检验影像病原学遗传代谢及特殊检查分析模板库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