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儿科AI病历书写系统</w:t>
      </w:r>
    </w:p>
    <w:p>
      <w:pPr>
        <w:pStyle w:val="Title"/>
      </w:pPr>
      <w:r>
        <w:t>07 儿科合理用药液体营养治疗及医嘱表达规则库</w:t>
      </w:r>
    </w:p>
    <w:p>
      <w:r>
        <w:t>版本 V1.0　编制与核验日期 2026年10月30日</w:t>
      </w:r>
    </w:p>
    <w:p>
      <w:r>
        <w:t>所属层级 第2级　模块编号 07</w:t>
      </w:r>
    </w:p>
    <w:p>
      <w:r>
        <w:t>审核儿童剂量、单位、体重时点、制剂浓度与液体营养执行状态。</w:t>
      </w:r>
    </w:p>
    <w:p>
      <w:r>
        <w:t>用于具备权限医师的拟稿 分析和质控。所有病例示例均为虚构，不进入真实患儿事实。</w:t>
      </w:r>
    </w:p>
    <w:p>
      <w:r>
        <w:t>当前交付为规则库及可读取Skill入口。未连接医院EMR，部分专病原文和本院制度仍需临床使用前核验。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hyperlink w:anchor="S0000">
        <w:r>
          <w:rPr>
            <w:color w:val="000000"/>
          </w:rPr>
          <w:t>模块定位及调用契约</w:t>
        </w:r>
      </w:hyperlink>
    </w:p>
    <w:p>
      <w:pPr>
        <w:spacing w:after="40"/>
        <w:ind w:left="0"/>
      </w:pPr>
      <w:hyperlink w:anchor="S0001">
        <w:r>
          <w:rPr>
            <w:color w:val="000000"/>
          </w:rPr>
          <w:t>医学事实与安全契约</w:t>
        </w:r>
      </w:hyperlink>
    </w:p>
    <w:p>
      <w:pPr>
        <w:spacing w:after="40"/>
        <w:ind w:left="0"/>
      </w:pPr>
      <w:hyperlink w:anchor="S0002">
        <w:r>
          <w:rPr>
            <w:color w:val="000000"/>
          </w:rPr>
          <w:t>医学文书统一输出协议</w:t>
        </w:r>
      </w:hyperlink>
    </w:p>
    <w:p>
      <w:pPr>
        <w:spacing w:after="40"/>
        <w:ind w:left="0"/>
      </w:pPr>
      <w:hyperlink w:anchor="S0003">
        <w:r>
          <w:rPr>
            <w:color w:val="000000"/>
          </w:rPr>
          <w:t>16项给药核对资料</w:t>
        </w:r>
      </w:hyperlink>
    </w:p>
    <w:p>
      <w:pPr>
        <w:spacing w:after="40"/>
        <w:ind w:left="0"/>
      </w:pPr>
      <w:hyperlink w:anchor="S0004">
        <w:r>
          <w:rPr>
            <w:color w:val="000000"/>
          </w:rPr>
          <w:t>剂量量纲与算术</w:t>
        </w:r>
      </w:hyperlink>
    </w:p>
    <w:p>
      <w:pPr>
        <w:spacing w:after="40"/>
        <w:ind w:left="0"/>
      </w:pPr>
      <w:hyperlink w:anchor="S0005">
        <w:r>
          <w:rPr>
            <w:color w:val="000000"/>
          </w:rPr>
          <w:t>治疗状态机</w:t>
        </w:r>
      </w:hyperlink>
    </w:p>
    <w:p>
      <w:pPr>
        <w:spacing w:after="40"/>
        <w:ind w:left="0"/>
      </w:pPr>
      <w:hyperlink w:anchor="S0006">
        <w:r>
          <w:rPr>
            <w:color w:val="000000"/>
          </w:rPr>
          <w:t>14类药物风险</w:t>
        </w:r>
      </w:hyperlink>
    </w:p>
    <w:p>
      <w:pPr>
        <w:spacing w:after="40"/>
        <w:ind w:left="227"/>
      </w:pPr>
      <w:hyperlink w:anchor="S0007">
        <w:r>
          <w:rPr>
            <w:color w:val="000000"/>
          </w:rPr>
          <w:t>抗菌药物</w:t>
        </w:r>
      </w:hyperlink>
    </w:p>
    <w:p>
      <w:pPr>
        <w:spacing w:after="40"/>
        <w:ind w:left="227"/>
      </w:pPr>
      <w:hyperlink w:anchor="S0008">
        <w:r>
          <w:rPr>
            <w:color w:val="000000"/>
          </w:rPr>
          <w:t>抗病毒药物</w:t>
        </w:r>
      </w:hyperlink>
    </w:p>
    <w:p>
      <w:pPr>
        <w:spacing w:after="40"/>
        <w:ind w:left="227"/>
      </w:pPr>
      <w:hyperlink w:anchor="S0009">
        <w:r>
          <w:rPr>
            <w:color w:val="000000"/>
          </w:rPr>
          <w:t>抗真菌药物</w:t>
        </w:r>
      </w:hyperlink>
    </w:p>
    <w:p>
      <w:pPr>
        <w:spacing w:after="40"/>
        <w:ind w:left="227"/>
      </w:pPr>
      <w:hyperlink w:anchor="S0010">
        <w:r>
          <w:rPr>
            <w:color w:val="000000"/>
          </w:rPr>
          <w:t>退热及镇痛药</w:t>
        </w:r>
      </w:hyperlink>
    </w:p>
    <w:p>
      <w:pPr>
        <w:spacing w:after="40"/>
        <w:ind w:left="227"/>
      </w:pPr>
      <w:hyperlink w:anchor="S0011">
        <w:r>
          <w:rPr>
            <w:color w:val="000000"/>
          </w:rPr>
          <w:t>支气管舒张药</w:t>
        </w:r>
      </w:hyperlink>
    </w:p>
    <w:p>
      <w:pPr>
        <w:spacing w:after="40"/>
        <w:ind w:left="227"/>
      </w:pPr>
      <w:hyperlink w:anchor="S0012">
        <w:r>
          <w:rPr>
            <w:color w:val="000000"/>
          </w:rPr>
          <w:t>糖皮质激素</w:t>
        </w:r>
      </w:hyperlink>
    </w:p>
    <w:p>
      <w:pPr>
        <w:spacing w:after="40"/>
        <w:ind w:left="227"/>
      </w:pPr>
      <w:hyperlink w:anchor="S0013">
        <w:r>
          <w:rPr>
            <w:color w:val="000000"/>
          </w:rPr>
          <w:t>抗癫痫发作药物</w:t>
        </w:r>
      </w:hyperlink>
    </w:p>
    <w:p>
      <w:pPr>
        <w:spacing w:after="40"/>
        <w:ind w:left="227"/>
      </w:pPr>
      <w:hyperlink w:anchor="S0014">
        <w:r>
          <w:rPr>
            <w:color w:val="000000"/>
          </w:rPr>
          <w:t>心血管相关药物</w:t>
        </w:r>
      </w:hyperlink>
    </w:p>
    <w:p>
      <w:pPr>
        <w:spacing w:after="40"/>
        <w:ind w:left="227"/>
      </w:pPr>
      <w:hyperlink w:anchor="S0015">
        <w:r>
          <w:rPr>
            <w:color w:val="000000"/>
          </w:rPr>
          <w:t>利尿药</w:t>
        </w:r>
      </w:hyperlink>
    </w:p>
    <w:p>
      <w:pPr>
        <w:spacing w:after="40"/>
        <w:ind w:left="227"/>
      </w:pPr>
      <w:hyperlink w:anchor="S0016">
        <w:r>
          <w:rPr>
            <w:color w:val="000000"/>
          </w:rPr>
          <w:t>胰岛素及其他内分泌治疗</w:t>
        </w:r>
      </w:hyperlink>
    </w:p>
    <w:p>
      <w:pPr>
        <w:spacing w:after="40"/>
        <w:ind w:left="227"/>
      </w:pPr>
      <w:hyperlink w:anchor="S0017">
        <w:r>
          <w:rPr>
            <w:color w:val="000000"/>
          </w:rPr>
          <w:t>营养相关药物</w:t>
        </w:r>
      </w:hyperlink>
    </w:p>
    <w:p>
      <w:pPr>
        <w:spacing w:after="40"/>
        <w:ind w:left="227"/>
      </w:pPr>
      <w:hyperlink w:anchor="S0018">
        <w:r>
          <w:rPr>
            <w:color w:val="000000"/>
          </w:rPr>
          <w:t>新生儿专用治疗药物</w:t>
        </w:r>
      </w:hyperlink>
    </w:p>
    <w:p>
      <w:pPr>
        <w:spacing w:after="40"/>
        <w:ind w:left="227"/>
      </w:pPr>
      <w:hyperlink w:anchor="S0019">
        <w:r>
          <w:rPr>
            <w:color w:val="000000"/>
          </w:rPr>
          <w:t>血液及免疫系统相关药物</w:t>
        </w:r>
      </w:hyperlink>
    </w:p>
    <w:p>
      <w:pPr>
        <w:spacing w:after="40"/>
        <w:ind w:left="227"/>
      </w:pPr>
      <w:hyperlink w:anchor="S0020">
        <w:r>
          <w:rPr>
            <w:color w:val="000000"/>
          </w:rPr>
          <w:t>其他实际儿科治疗</w:t>
        </w:r>
      </w:hyperlink>
    </w:p>
    <w:p>
      <w:pPr>
        <w:spacing w:after="40"/>
        <w:ind w:left="0"/>
      </w:pPr>
      <w:hyperlink w:anchor="S0021">
        <w:r>
          <w:rPr>
            <w:color w:val="000000"/>
          </w:rPr>
          <w:t>12项液体与电解质管理</w:t>
        </w:r>
      </w:hyperlink>
    </w:p>
    <w:p>
      <w:pPr>
        <w:spacing w:after="40"/>
        <w:ind w:left="0"/>
      </w:pPr>
      <w:hyperlink w:anchor="S0022">
        <w:r>
          <w:rPr>
            <w:color w:val="000000"/>
          </w:rPr>
          <w:t>营养治疗与相互制约</w:t>
        </w:r>
      </w:hyperlink>
    </w:p>
    <w:p>
      <w:pPr>
        <w:spacing w:after="40"/>
        <w:ind w:left="0"/>
      </w:pPr>
      <w:hyperlink w:anchor="S0023">
        <w:r>
          <w:rPr>
            <w:color w:val="000000"/>
          </w:rPr>
          <w:t>核对输出模板</w:t>
        </w:r>
      </w:hyperlink>
    </w:p>
    <w:p>
      <w:pPr>
        <w:spacing w:after="40"/>
        <w:ind w:left="0"/>
      </w:pPr>
      <w:hyperlink w:anchor="S0024">
        <w:r>
          <w:rPr>
            <w:color w:val="000000"/>
          </w:rPr>
          <w:t>完整虚构病例与输出示例</w:t>
        </w:r>
      </w:hyperlink>
    </w:p>
    <w:p>
      <w:pPr>
        <w:spacing w:after="40"/>
        <w:ind w:left="0"/>
      </w:pPr>
      <w:hyperlink w:anchor="S0025">
        <w:r>
          <w:rPr>
            <w:color w:val="000000"/>
          </w:rPr>
          <w:t>医学真实性边界 常见错误与模块协同</w:t>
        </w:r>
      </w:hyperlink>
    </w:p>
    <w:p>
      <w:pPr>
        <w:spacing w:after="40"/>
        <w:ind w:left="0"/>
      </w:pPr>
      <w:hyperlink w:anchor="S0026">
        <w:r>
          <w:rPr>
            <w:color w:val="000000"/>
          </w:rPr>
          <w:t>模块质量控制清单</w:t>
        </w:r>
      </w:hyperlink>
    </w:p>
    <w:p>
      <w:pPr>
        <w:spacing w:after="40"/>
        <w:ind w:left="0"/>
      </w:pPr>
      <w:hyperlink w:anchor="S0027">
        <w:r>
          <w:rPr>
            <w:color w:val="000000"/>
          </w:rPr>
          <w:t>指南规范及证据来源</w:t>
        </w:r>
      </w:hyperlink>
    </w:p>
    <w:p>
      <w:pPr>
        <w:spacing w:after="40"/>
        <w:ind w:left="227"/>
      </w:pPr>
      <w:hyperlink w:anchor="S0028">
        <w:r>
          <w:rPr>
            <w:color w:val="000000"/>
          </w:rPr>
          <w:t>R31 关于进一步加强儿童临床用药管理工作的通知</w:t>
        </w:r>
      </w:hyperlink>
    </w:p>
    <w:p>
      <w:pPr>
        <w:spacing w:after="40"/>
        <w:ind w:left="227"/>
      </w:pPr>
      <w:hyperlink w:anchor="S0029">
        <w:r>
          <w:rPr>
            <w:color w:val="000000"/>
          </w:rPr>
          <w:t>R32 抗菌药物临床应用指导原则（2015年版）</w:t>
        </w:r>
      </w:hyperlink>
    </w:p>
    <w:p>
      <w:pPr>
        <w:spacing w:after="40"/>
        <w:ind w:left="227"/>
      </w:pPr>
      <w:hyperlink w:anchor="S0030">
        <w:r>
          <w:rPr>
            <w:color w:val="000000"/>
          </w:rPr>
          <w:t>R16 早产儿肠内营养管理专家共识（2024年）</w:t>
        </w:r>
      </w:hyperlink>
    </w:p>
    <w:p>
      <w:pPr>
        <w:spacing w:after="40"/>
        <w:ind w:left="227"/>
      </w:pPr>
      <w:hyperlink w:anchor="S0031">
        <w:r>
          <w:rPr>
            <w:color w:val="000000"/>
          </w:rPr>
          <w:t>R40 药品不良反应报告和监测管理办法</w:t>
        </w:r>
      </w:hyperlink>
    </w:p>
    <w:p>
      <w:pPr>
        <w:spacing w:after="40"/>
        <w:ind w:left="227"/>
      </w:pPr>
      <w:hyperlink w:anchor="S0032">
        <w:r>
          <w:rPr>
            <w:color w:val="000000"/>
          </w:rPr>
          <w:t>R41 关于改革完善儿童用药供应保障机制的实施意见</w:t>
        </w:r>
      </w:hyperlink>
    </w:p>
    <w:p>
      <w:pPr>
        <w:spacing w:after="40"/>
        <w:ind w:left="227"/>
      </w:pPr>
      <w:hyperlink w:anchor="S0033">
        <w:r>
          <w:rPr>
            <w:color w:val="000000"/>
          </w:rPr>
          <w:t>R44 新生儿肠外营养管理专家共识（2025）</w:t>
        </w:r>
      </w:hyperlink>
    </w:p>
    <w:p>
      <w:pPr>
        <w:spacing w:after="40"/>
        <w:ind w:left="227"/>
      </w:pPr>
      <w:hyperlink w:anchor="S0034">
        <w:r>
          <w:rPr>
            <w:color w:val="000000"/>
          </w:rPr>
          <w:t>尚待补齐的来源</w:t>
        </w:r>
      </w:hyperlink>
    </w:p>
    <w:p>
      <w:pPr>
        <w:spacing w:after="40"/>
        <w:ind w:left="0"/>
      </w:pPr>
      <w:hyperlink w:anchor="S0035">
        <w:r>
          <w:rPr>
            <w:color w:val="000000"/>
          </w:rPr>
          <w:t>版本更新与维护说明</w:t>
        </w:r>
      </w:hyperlink>
    </w:p>
    <w:p>
      <w:r>
        <w:br w:type="page"/>
      </w:r>
    </w:p>
    <w:p>
      <w:bookmarkStart w:id="0" w:name="S0000"/>
      <w:pPr>
        <w:pStyle w:val="Heading1"/>
      </w:pPr>
      <w:r>
        <w:t>模块定位及调用契约</w:t>
      </w:r>
      <w:bookmarkEnd w:id="0"/>
    </w:p>
    <w:p>
      <w:r>
        <w:rPr>
          <w:b w:val="0"/>
        </w:rPr>
        <w:t>版本V1.0。所属第2级。功能定位：审核儿童剂量、单位、体重时点、制剂浓度与液体营养执行状态。适用普通儿科、新生儿、NICU/PICU及儿童专科；具体收治年龄依医院。自动调用条件：涉及本模块任务、相应病种或新增相关事实时。</w:t>
      </w:r>
    </w:p>
    <w:p>
      <w:r>
        <w:rPr>
          <w:b w:val="0"/>
        </w:rPr>
        <w:t>必需输入：患儿和本次住院标识、目标文书类型与时点、出生及年龄资料、当前测量及给药体重日期、当次实查、实际报告及可知时间、治疗医嘱与执行、设备状态、真实医师意见及监护来源。按任务适用性取用，关键缺项框外核实，非关键安全省略。</w:t>
      </w:r>
    </w:p>
    <w:p>
      <w:bookmarkStart w:id="1" w:name="S0001"/>
      <w:pPr>
        <w:pStyle w:val="Heading1"/>
      </w:pPr>
      <w:r>
        <w:t>医学事实与安全契约</w:t>
      </w:r>
      <w:bookmarkEnd w:id="1"/>
    </w:p>
    <w:p>
      <w:r>
        <w:rPr>
          <w:b w:val="0"/>
        </w:rPr>
        <w:t>事实必须同时关联patient_id、可靠第二标识、encounter_id、source_id、source_type、event_time、recorded_at、available_at、author、verification和版本。床号、姓名或对话连续性不足以单独证明同一患儿。稳定病史保留原日期来源；当日体温、体重、查体、尿量、支持参数和执行不能由昨日复制。未知、未询问、未查、待回、冲突、确证阴性和不适用各自标记，0不能表示未知。监护人口述、患儿自述、转诊记录、原报告和医师直接观察分别归属。医学知识及模拟病例永不进入真实患儿事实集。</w:t>
      </w:r>
    </w:p>
    <w:p>
      <w:r>
        <w:rPr>
          <w:b w:val="0"/>
        </w:rPr>
        <w:t>任何药物、液体、营养处方或呼吸支持建议都不能反推已经执行。药物状态依次可为知识建议、医师拟定、已开医嘱、已配制和实际给药，暂停、停止、取消、拒绝及恢复独立管理；可由抢救原始执行记录证明紧急给药，不强迫虚构事前电子医嘱。年龄、胎龄、日龄、当前实测体重和给药计算体重及日期分开。mg/kg/次与mg/kg/日、mg与mL、μg与mg、单位与mL分别核算；制剂浓度不是给药剂量。缺体重、浓度、频次、途径或方案来源时不输出精确体积或处方。肝肾功能、最大剂量、过敏、相互作用及本院制剂逐例核对。仅有年龄不得生成固定补液；维持、复苏、纠正缺失及持续丢失分别估算并排除重复。目标奶量不等于实际奶量，母乳直接哺喂无测量时不估造mL。</w:t>
      </w:r>
    </w:p>
    <w:p>
      <w:bookmarkStart w:id="2" w:name="S0002"/>
      <w:pPr>
        <w:pStyle w:val="Heading1"/>
      </w:pPr>
      <w:r>
        <w:t>医学文书统一输出协议</w:t>
      </w:r>
      <w:bookmarkEnd w:id="2"/>
    </w:p>
    <w:p>
      <w:r>
        <w:rPr>
          <w:b w:val="0"/>
        </w:rPr>
        <w:t>正式文书日期、时间、标题以及实际医师姓名职称置于代码框外；每份医学正文置于独立Markdown text代码框。框内仅含可复制医学正文，不重复题头，不含AI解释、核对问题或未替换占位符。日常病程和主治、副主任、主任医师查房为连续完整一整段，不分条、不空行、不插多余空格，不能为单段删减必要临床信息。首次病程、入院、抢救、新生儿复苏、特殊操作、出院等固定栏目文书保留必要结构。新生儿复苏、PICU/NICU连续监护、呼吸机参数、实际给药、出入量和抢救必须保留事件时间与结构字段，不能强压为单段。正文不重复题头日期，但必要的采样、治疗和抢救时点仍须保留。不得使用“根据昨天的查房记录”“结合前一天的检查情况”“根据用户上传的图片”“AI认为”。历史结果直接写明实际日期。正式正文不得残留【变量】、双选项或虚构签名。关键缺项或冲突在框外说明，暂停受影响净稿；非关键项目安全省略。模板变量仅用于规则库教学，不是可直接提交的病历。</w:t>
      </w:r>
    </w:p>
    <w:p>
      <w:bookmarkStart w:id="3" w:name="S0003"/>
      <w:pPr>
        <w:pStyle w:val="Heading1"/>
      </w:pPr>
      <w:r>
        <w:t>16项给药核对资料</w:t>
      </w:r>
      <w:bookmarkEnd w:id="3"/>
    </w:p>
    <w:p>
      <w:r>
        <w:rPr>
          <w:b w:val="0"/>
        </w:rPr>
        <w:t>患儿身份、实际年龄及适用胎龄日龄、当前及给药体重、测量日期、适应证、通用名、制剂规格、药液浓度、计算依据、单次剂量、每日总量、频次、途径、开始结束时间、肝肾功能和实际医嘱给药状态。过敏、相互作用、最大量、治疗药物监测与特殊辅料风险按药品补充。新生儿半衰期与肾成熟影响给药间隔，不能从较大儿童公式直接推出频次。</w:t>
      </w:r>
    </w:p>
    <w:p>
      <w:bookmarkStart w:id="4" w:name="S0004"/>
      <w:pPr>
        <w:pStyle w:val="Heading1"/>
      </w:pPr>
      <w:r>
        <w:t>剂量量纲与算术</w:t>
      </w:r>
      <w:bookmarkEnd w:id="4"/>
    </w:p>
    <w:p>
      <w:r>
        <w:rPr>
          <w:b w:val="0"/>
        </w:rPr>
        <w:t>mg/kg/次×给药体重kg=mg/次；mg/kg/日×体重=mg/日，只有分次次数明确且方案允许均分时再除为每次。给药频次为不规则、负荷加维持、按需或连续泵入时，不擅自以平均数代替实际。已知浓度mg/mL且制剂与重配一致时，体积mL=所需mg÷浓度；浓度从药品、稀释后标签和配液记录核实。mg↔μg相差1000倍；胰岛素单位、凝血因子IU、mmol、mEq、g和mL不得互转。元素铁与化合物质量分开，电解质盐的元素量与盐总量分开；百分浓度必须说明质量体积等定义。</w:t>
      </w:r>
    </w:p>
    <w:p>
      <w:r>
        <w:rPr>
          <w:b w:val="0"/>
        </w:rPr>
        <w:t>以下仅为算术虚构例，不是儿科推荐处方：体重10kg，经医师已核“药物A 30mg/kg/日，分3次”，则每日300mg、单次100mg；若真实配液浓度20mg/mL则单次5mL。若误读为30mg/kg/次将变每日900mg，严重拦截。数值均来自演算假设，不可复制到真实处方。0.5写前导0，避免末尾无意义小数；按本院可量取精度与药师复核，不自行四舍五入危险剂量。</w:t>
      </w:r>
    </w:p>
    <w:p>
      <w:r>
        <w:rPr>
          <w:b w:val="0"/>
        </w:rPr>
        <w:t>连续泵入可按已核单位进行量纲换算，例如μg/kg/min须同具体给药体重、分钟小时换算、最终浓度和泵速联合复核；不因有计算式就生成缺来源的药物方案。最大剂量和绝对量上限只从适用说明书/指南原文加载，不用成人最大量默认儿童安全。</w:t>
      </w:r>
    </w:p>
    <w:p>
      <w:bookmarkStart w:id="5" w:name="S0005"/>
      <w:pPr>
        <w:pStyle w:val="Heading1"/>
      </w:pPr>
      <w:r>
        <w:t>治疗状态机</w:t>
      </w:r>
      <w:bookmarkEnd w:id="5"/>
    </w:p>
    <w:p>
      <w:r>
        <w:rPr>
          <w:b w:val="0"/>
        </w:rPr>
        <w:t>knowledge、planned、confirmed_plan、ordered、prepared、administered、paused、stopped、cancelled、declined、resumed分别存储。恢复是新事件，须有医师决定和实际执行。停止不自动代表导管拔除，已配制不自动算入实际液体。危急实际给药可由可靠抢救记录证实，不要求虚构事前医嘱；随后医嘱补记按院内流程留痕。</w:t>
      </w:r>
    </w:p>
    <w:p>
      <w:bookmarkStart w:id="6" w:name="S0006"/>
      <w:pPr>
        <w:pStyle w:val="Heading1"/>
      </w:pPr>
      <w:r>
        <w:t>14类药物风险</w:t>
      </w:r>
      <w:bookmarkEnd w:id="6"/>
    </w:p>
    <w:p>
      <w:bookmarkStart w:id="7" w:name="S0007"/>
      <w:pPr>
        <w:pStyle w:val="Heading2"/>
      </w:pPr>
      <w:r>
        <w:t>抗菌药物</w:t>
      </w:r>
      <w:bookmarkEnd w:id="7"/>
    </w:p>
    <w:p>
      <w:r>
        <w:rPr>
          <w:b w:val="0"/>
        </w:rPr>
        <w:t>感染部位病原、采样前用药、年龄肾功能、疗程和降阶；TDM如适用。实际用药依据、医嘱与执行各自关联，超说明书用药按适用法定情形和院内制度，不虚构审批或同意。</w:t>
      </w:r>
    </w:p>
    <w:p>
      <w:bookmarkStart w:id="8" w:name="S0008"/>
      <w:pPr>
        <w:pStyle w:val="Heading2"/>
      </w:pPr>
      <w:r>
        <w:t>抗病毒药物</w:t>
      </w:r>
      <w:bookmarkEnd w:id="8"/>
    </w:p>
    <w:p>
      <w:r>
        <w:rPr>
          <w:b w:val="0"/>
        </w:rPr>
        <w:t>病原、起病阶段、获批年龄和肾功能；不能把任何病毒检出都治疗。实际用药依据、医嘱与执行各自关联，超说明书用药按适用法定情形和院内制度，不虚构审批或同意。</w:t>
      </w:r>
    </w:p>
    <w:p>
      <w:bookmarkStart w:id="9" w:name="S0009"/>
      <w:pPr>
        <w:pStyle w:val="Heading2"/>
      </w:pPr>
      <w:r>
        <w:t>抗真菌药物</w:t>
      </w:r>
      <w:bookmarkEnd w:id="9"/>
    </w:p>
    <w:p>
      <w:r>
        <w:rPr>
          <w:b w:val="0"/>
        </w:rPr>
        <w:t>宿主风险和部位、肝肾毒性及相互作用。实际用药依据、医嘱与执行各自关联，超说明书用药按适用法定情形和院内制度，不虚构审批或同意。</w:t>
      </w:r>
    </w:p>
    <w:p>
      <w:bookmarkStart w:id="10" w:name="S0010"/>
      <w:pPr>
        <w:pStyle w:val="Heading2"/>
      </w:pPr>
      <w:r>
        <w:t>退热及镇痛药</w:t>
      </w:r>
      <w:bookmarkEnd w:id="10"/>
    </w:p>
    <w:p>
      <w:r>
        <w:rPr>
          <w:b w:val="0"/>
        </w:rPr>
        <w:t>适龄制剂、复方重复和给药间隔；不承诺退热防惊厥。实际用药依据、医嘱与执行各自关联，超说明书用药按适用法定情形和院内制度，不虚构审批或同意。</w:t>
      </w:r>
    </w:p>
    <w:p>
      <w:bookmarkStart w:id="11" w:name="S0011"/>
      <w:pPr>
        <w:pStyle w:val="Heading2"/>
      </w:pPr>
      <w:r>
        <w:t>支气管舒张药</w:t>
      </w:r>
      <w:bookmarkEnd w:id="11"/>
    </w:p>
    <w:p>
      <w:r>
        <w:rPr>
          <w:b w:val="0"/>
        </w:rPr>
        <w:t>实际剂型装置、吸入技术及心率血钾反应。实际用药依据、医嘱与执行各自关联，超说明书用药按适用法定情形和院内制度，不虚构审批或同意。</w:t>
      </w:r>
    </w:p>
    <w:p>
      <w:bookmarkStart w:id="12" w:name="S0012"/>
      <w:pPr>
        <w:pStyle w:val="Heading2"/>
      </w:pPr>
      <w:r>
        <w:t>糖皮质激素</w:t>
      </w:r>
      <w:bookmarkEnd w:id="12"/>
    </w:p>
    <w:p>
      <w:r>
        <w:rPr>
          <w:b w:val="0"/>
        </w:rPr>
        <w:t>适应证、全身与吸入暴露分开、减停与应激风险。实际用药依据、医嘱与执行各自关联，超说明书用药按适用法定情形和院内制度，不虚构审批或同意。</w:t>
      </w:r>
    </w:p>
    <w:p>
      <w:bookmarkStart w:id="13" w:name="S0013"/>
      <w:pPr>
        <w:pStyle w:val="Heading2"/>
      </w:pPr>
      <w:r>
        <w:t>抗癫痫发作药物</w:t>
      </w:r>
      <w:bookmarkEnd w:id="13"/>
    </w:p>
    <w:p>
      <w:r>
        <w:rPr>
          <w:b w:val="0"/>
        </w:rPr>
        <w:t>负荷维持、途径、呼吸镇静及药物相互作用。实际用药依据、医嘱与执行各自关联，超说明书用药按适用法定情形和院内制度，不虚构审批或同意。</w:t>
      </w:r>
    </w:p>
    <w:p>
      <w:bookmarkStart w:id="14" w:name="S0014"/>
      <w:pPr>
        <w:pStyle w:val="Heading2"/>
      </w:pPr>
      <w:r>
        <w:t>心血管相关药物</w:t>
      </w:r>
      <w:bookmarkEnd w:id="14"/>
    </w:p>
    <w:p>
      <w:r>
        <w:rPr>
          <w:b w:val="0"/>
        </w:rPr>
        <w:t>血流动力学、节律及浓度泵速，核低压风险。实际用药依据、医嘱与执行各自关联，超说明书用药按适用法定情形和院内制度，不虚构审批或同意。</w:t>
      </w:r>
    </w:p>
    <w:p>
      <w:bookmarkStart w:id="15" w:name="S0015"/>
      <w:pPr>
        <w:pStyle w:val="Heading2"/>
      </w:pPr>
      <w:r>
        <w:t>利尿药</w:t>
      </w:r>
      <w:bookmarkEnd w:id="15"/>
    </w:p>
    <w:p>
      <w:r>
        <w:rPr>
          <w:b w:val="0"/>
        </w:rPr>
        <w:t>容量、电解质肾功能；水肿不等血容量过多。实际用药依据、医嘱与执行各自关联，超说明书用药按适用法定情形和院内制度，不虚构审批或同意。</w:t>
      </w:r>
    </w:p>
    <w:p>
      <w:bookmarkStart w:id="16" w:name="S0016"/>
      <w:pPr>
        <w:pStyle w:val="Heading2"/>
      </w:pPr>
      <w:r>
        <w:t>胰岛素及其他内分泌治疗</w:t>
      </w:r>
      <w:bookmarkEnd w:id="16"/>
    </w:p>
    <w:p>
      <w:r>
        <w:rPr>
          <w:b w:val="0"/>
        </w:rPr>
        <w:t>单位浓度、笔泵装置、实际注射和进食，防低血糖。实际用药依据、医嘱与执行各自关联，超说明书用药按适用法定情形和院内制度，不虚构审批或同意。</w:t>
      </w:r>
    </w:p>
    <w:p>
      <w:bookmarkStart w:id="17" w:name="S0017"/>
      <w:pPr>
        <w:pStyle w:val="Heading2"/>
      </w:pPr>
      <w:r>
        <w:t>营养相关药物</w:t>
      </w:r>
      <w:bookmarkEnd w:id="17"/>
    </w:p>
    <w:p>
      <w:r>
        <w:rPr>
          <w:b w:val="0"/>
        </w:rPr>
        <w:t>元素量与总摄入、补充剂重复和治疗预防剂量。实际用药依据、医嘱与执行各自关联，超说明书用药按适用法定情形和院内制度，不虚构审批或同意。</w:t>
      </w:r>
    </w:p>
    <w:p>
      <w:bookmarkStart w:id="18" w:name="S0018"/>
      <w:pPr>
        <w:pStyle w:val="Heading2"/>
      </w:pPr>
      <w:r>
        <w:t>新生儿专用治疗药物</w:t>
      </w:r>
      <w:bookmarkEnd w:id="18"/>
    </w:p>
    <w:p>
      <w:r>
        <w:rPr>
          <w:b w:val="0"/>
        </w:rPr>
        <w:t>胎龄日龄体重及制剂，PS和咖啡因等不可凭病名自动记用。实际用药依据、医嘱与执行各自关联，超说明书用药按适用法定情形和院内制度，不虚构审批或同意。</w:t>
      </w:r>
    </w:p>
    <w:p>
      <w:bookmarkStart w:id="19" w:name="S0019"/>
      <w:pPr>
        <w:pStyle w:val="Heading2"/>
      </w:pPr>
      <w:r>
        <w:t>血液及免疫系统相关药物</w:t>
      </w:r>
      <w:bookmarkEnd w:id="19"/>
    </w:p>
    <w:p>
      <w:r>
        <w:rPr>
          <w:b w:val="0"/>
        </w:rPr>
        <w:t>方案版本体表面积、疗程日、感染及输注反应，化疗不得自动按模板处方。实际用药依据、医嘱与执行各自关联，超说明书用药按适用法定情形和院内制度，不虚构审批或同意。</w:t>
      </w:r>
    </w:p>
    <w:p>
      <w:bookmarkStart w:id="20" w:name="S0020"/>
      <w:pPr>
        <w:pStyle w:val="Heading2"/>
      </w:pPr>
      <w:r>
        <w:t>其他实际儿科治疗</w:t>
      </w:r>
      <w:bookmarkEnd w:id="20"/>
    </w:p>
    <w:p>
      <w:r>
        <w:rPr>
          <w:b w:val="0"/>
        </w:rPr>
        <w:t>检查说明书、儿科适应证和院内审方，不使用未核精确剂量。实际用药依据、医嘱与执行各自关联，超说明书用药按适用法定情形和院内制度，不虚构审批或同意。</w:t>
      </w:r>
    </w:p>
    <w:p>
      <w:bookmarkStart w:id="21" w:name="S0021"/>
      <w:pPr>
        <w:pStyle w:val="Heading1"/>
      </w:pPr>
      <w:r>
        <w:t>12项液体与电解质管理</w:t>
      </w:r>
      <w:bookmarkEnd w:id="21"/>
    </w:p>
    <w:p>
      <w:r>
        <w:rPr>
          <w:b w:val="0"/>
        </w:rPr>
        <w:t>维持需要、脱水缺失、液体复苏、持续补液、实际摄入、呕吐腹泻丢失、尿量、其他引流、液体平衡、血钠血钾、肾功能与特殊疾病限制逐项独立。任何维持估算只是起点，需当前体重、容量、心肾功能、感染重症、手术及ADH状态修订，不能把年龄或公式当处方。每次复苏记录实际量速度、开始结束、灌注反应及过负荷警示，DKA、新生儿、心衰和肾损伤不能统一套固定方案。</w:t>
      </w:r>
    </w:p>
    <w:p>
      <w:r>
        <w:rPr>
          <w:b w:val="0"/>
        </w:rPr>
        <w:t>统计起止时段必须一致。入量=实际口服/管饲/静脉液体加药液等，重复记载不得双计；出量分别列尿、呕吐、便与引流，未测损失不得伪造。净平衡=已计入量－已计出量，不等于全身真实水分变化；漏计与不显性失水另述。尿量mL/kg/h=实测尿量mL÷该区间经核体重kg÷小时数，尿布重量需方法和便混入情况；时段或体重不明不精算。跨日时段不得以整日假设替代。</w:t>
      </w:r>
    </w:p>
    <w:p>
      <w:bookmarkStart w:id="22" w:name="S0022"/>
      <w:pPr>
        <w:pStyle w:val="Heading1"/>
      </w:pPr>
      <w:r>
        <w:t>营养治疗与相互制约</w:t>
      </w:r>
      <w:bookmarkEnd w:id="22"/>
    </w:p>
    <w:p>
      <w:r>
        <w:rPr>
          <w:b w:val="0"/>
        </w:rPr>
        <w:t>母乳、配方、混合、辅食、肠内和肠外各存奶种配方浓度、目标、医嘱与实际量、途径、时段和耐受。计算能量蛋白需实际成分及摄入；计划量不算实际达标。肠外配伍与渗透风险、微量元素总量、血糖及再喂养需药师营养团队。体重增加同时有水肿时不能写营养改善。出院核配方冲调、量取工具、家属实际演示与复诊。</w:t>
      </w:r>
    </w:p>
    <w:p>
      <w:bookmarkStart w:id="23" w:name="S0023"/>
      <w:pPr>
        <w:pStyle w:val="Heading1"/>
      </w:pPr>
      <w:r>
        <w:t>核对输出模板</w:t>
      </w:r>
      <w:bookmarkEnd w:id="23"/>
    </w:p>
    <w:p>
      <w:r>
        <w:rPr>
          <w:b w:val="0"/>
        </w:rPr>
        <w:t>【文书日期及时间】 用药液体与营养核对</w:t>
      </w:r>
    </w:p>
    <w:p>
      <w:pPr>
        <w:pStyle w:val="CodeText"/>
      </w:pPr>
      <w:r>
        <w:t>```text</w:t>
      </w:r>
    </w:p>
    <w:p>
      <w:pPr>
        <w:pStyle w:val="CodeText"/>
      </w:pPr>
      <w:r>
        <w:t>核对时点：【实际】</w:t>
      </w:r>
    </w:p>
    <w:p>
      <w:pPr>
        <w:pStyle w:val="CodeText"/>
      </w:pPr>
      <w:r>
        <w:t>给药体重及来源：【值日期、适用理由】</w:t>
      </w:r>
    </w:p>
    <w:p>
      <w:pPr>
        <w:pStyle w:val="CodeText"/>
      </w:pPr>
      <w:r>
        <w:t>药物及方案状态：【名称制剂、适应证、计划或医嘱】</w:t>
      </w:r>
    </w:p>
    <w:p>
      <w:pPr>
        <w:pStyle w:val="CodeText"/>
      </w:pPr>
      <w:r>
        <w:t>计算：【原单位、公式、单次、日量、浓度体积及上限来源】</w:t>
      </w:r>
    </w:p>
    <w:p>
      <w:pPr>
        <w:pStyle w:val="CodeText"/>
      </w:pPr>
      <w:r>
        <w:t>实际执行：【独立时点、剂量途径和来源】</w:t>
      </w:r>
    </w:p>
    <w:p>
      <w:pPr>
        <w:pStyle w:val="CodeText"/>
      </w:pPr>
      <w:r>
        <w:t>液体营养：【统计区间、计划与实际入出、漏计限制】</w:t>
      </w:r>
    </w:p>
    <w:p>
      <w:pPr>
        <w:pStyle w:val="CodeText"/>
      </w:pPr>
      <w:r>
        <w:t>风险与后续：【肝肾、电解质、疗效不良反应及医师决定】</w:t>
      </w:r>
    </w:p>
    <w:p>
      <w:pPr>
        <w:pStyle w:val="CodeText"/>
      </w:pPr>
      <w:r>
        <w:t>```</w:t>
      </w:r>
    </w:p>
    <w:p>
      <w:bookmarkStart w:id="24" w:name="S0024"/>
      <w:pPr>
        <w:pStyle w:val="Heading1"/>
      </w:pPr>
      <w:r>
        <w:t>完整虚构病例与输出示例</w:t>
      </w:r>
      <w:bookmarkEnd w:id="24"/>
    </w:p>
    <w:p>
      <w:r>
        <w:rPr>
          <w:b w:val="0"/>
        </w:rPr>
        <w:t>本节所有标识、病史、检查、医师意见和事件均为人工构造，禁止作为真实患者输入的默认值。该病例完整呈现已知和未知资料，不用虚构正常来填满系统项目。</w:t>
      </w:r>
    </w:p>
    <w:p>
      <w:r>
        <w:rPr>
          <w:b w:val="0"/>
        </w:rPr>
        <w:t>病例标识：SIM-P22；本次住院：SIM-E22。目标文书时点：2026-10-30T11:00:00+08:00。出生：2022-10-30T11:00:00+08:00；胎龄：未提供，当前较大儿童任务不据此推断。实际体重：10.0kg，测量时间2026-10-30T08:00:00+08:00。年龄由出生及目标时点计算；不以模拟叙事替代时间计算。</w:t>
      </w:r>
    </w:p>
    <w:p>
      <w:r>
        <w:rPr>
          <w:b w:val="0"/>
        </w:rPr>
        <w:t>来源：虚构母亲提供病史；虚构医师记录本次实查与计划；虚构检查报告仅限下述已给内容。既往史、出生围产细节、接种、过敏和家族史未给项均标未提供；未询问不能写否认。生长发育：未提供纵向测量，不赋百分位。未给药物浓度、给药执行、完整出入量、设备参数、操作或签署均未知，不自动补齐。</w:t>
      </w:r>
    </w:p>
    <w:p>
      <w:r>
        <w:rPr>
          <w:b w:val="0"/>
        </w:rPr>
        <w:t>病史及当前临床资料：同一6小时时段实测尿量120mL，核定体重10kg，计算尿量2mL/kg/h；已记录入量180mL，记录内净平衡+60mL，不代表全部水分平衡。</w:t>
      </w:r>
    </w:p>
    <w:p>
      <w:r>
        <w:rPr>
          <w:b w:val="0"/>
        </w:rPr>
        <w:t>诊断证据及处置：保留给定医师判断的确定度，不由执行器新增诊断；已有执行与计划按来源分层。风险、鉴别及监测围绕本模块任务展开，需真实医师确认的项目不反推已完成。随访未定的项目指定实际临床接收人后方可成稿。</w:t>
      </w:r>
    </w:p>
    <w:p>
      <w:r>
        <w:rPr>
          <w:b w:val="0"/>
        </w:rPr>
        <w:t>调用：00→01→11→02→03→04→07→104→10。模拟结果仅演示事实和格式；实际患者需重新运行10。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同一6小时时段实测尿量120mL，核定体重10kg，计算尿量2mL/kg/h；已记录入量180mL，记录内净平衡+60mL，不代表全部水分平衡。</w:t>
      </w:r>
    </w:p>
    <w:p>
      <w:pPr>
        <w:pStyle w:val="CodeText"/>
      </w:pPr>
      <w:r>
        <w:t>```</w:t>
      </w:r>
    </w:p>
    <w:p>
      <w:bookmarkStart w:id="25" w:name="S0025"/>
      <w:pPr>
        <w:pStyle w:val="Heading1"/>
      </w:pPr>
      <w:r>
        <w:t>医学真实性边界 常见错误与模块协同</w:t>
      </w:r>
      <w:bookmarkEnd w:id="25"/>
    </w:p>
    <w:p>
      <w:r>
        <w:rPr>
          <w:b w:val="0"/>
        </w:rPr>
        <w:t>本库为医师审核前的文书规则与模板，未连接医院EMR、医嘱系统、检验设备或患者数据库。自动调用是支持文件读取的AI依索引选读规则，不表示已部署后台。病例状态只在经授权的当前工作上下文或医院系统内维护，不写入通用Skill；新会话重新提供脱敏状态与来源。未读到的模块不得声称已读。不能代诊、代抢救、代处方、代知情同意或代签；监护人沟通和上级意见必须有真实参与证据。</w:t>
      </w:r>
    </w:p>
    <w:p>
      <w:r>
        <w:rPr>
          <w:b w:val="0"/>
        </w:rPr>
        <w:t>常见错误：实际年龄与胎龄混用、出生体重当当前体重、未查自动正常、病原检出直接病因确证、筛查或VUS当疾病确诊、计划当执行、旧住院当本次、母体检查当新生儿、未来结果写入旧病程、虚构沟通及上级意见。</w:t>
      </w:r>
    </w:p>
    <w:p>
      <w:r>
        <w:rPr>
          <w:b w:val="0"/>
        </w:rPr>
        <w:t>每次固定00→01→11，按需02至09和101至108，最后10。检查03的年龄测量、04的原文分析、05的操作设备、06的急变、07的执行、08的实际层级、09的家庭随访；各自不能越界代写。模块之间用编号定位和真实事件关联，不靠对话顺序自动合并。</w:t>
      </w:r>
    </w:p>
    <w:p>
      <w:bookmarkStart w:id="26" w:name="S0026"/>
      <w:pPr>
        <w:pStyle w:val="Heading1"/>
      </w:pPr>
      <w:r>
        <w:t>模块质量控制清单</w:t>
      </w:r>
      <w:bookmarkEnd w:id="26"/>
    </w:p>
    <w:p>
      <w:r>
        <w:rPr>
          <w:b w:val="0"/>
        </w:rPr>
        <w:t>核患者及住院、信息来源与时间；核出生日期胎龄日小时龄、测量和给药体重；核实际查体、参考人群、诊断证据与确定度；核药物单位浓度执行、液体营养统计、支持设备操作状态；核抢救事件、沟通医师真实意见、出院与随访责任；核代码框和单段。发现严重冲突暂停受影响正文并说明证据缺口。</w:t>
      </w:r>
    </w:p>
    <w:p>
      <w:bookmarkStart w:id="27" w:name="S0027"/>
      <w:pPr>
        <w:pStyle w:val="Heading1"/>
      </w:pPr>
      <w:r>
        <w:t>指南规范及证据来源</w:t>
      </w:r>
      <w:bookmarkEnd w:id="27"/>
    </w:p>
    <w:p>
      <w:r>
        <w:rPr>
          <w:b w:val="0"/>
        </w:rPr>
        <w:t>本文件来源核验日期为2026年10月30日，核验范围逐项注明。正式指南、专家共识、诊疗建议、管理通知和试行规范分别标识；未全文核验的阈值、剂量和推荐等级不启用。不把公开征求意见稿、制订计划或解读当作正式临床依据；国际来源须核中国批准信息和本院制度。检索未见更新不表示已证明绝对最新。</w:t>
      </w:r>
    </w:p>
    <w:p>
      <w:bookmarkStart w:id="28" w:name="S0028"/>
      <w:pPr>
        <w:pStyle w:val="Heading2"/>
      </w:pPr>
      <w:r>
        <w:t>R31 关于进一步加强儿童临床用药管理工作的通知</w:t>
      </w:r>
      <w:bookmarkEnd w:id="28"/>
    </w:p>
    <w:p>
      <w:r>
        <w:rPr>
          <w:b w:val="0"/>
        </w:rPr>
        <w:t>发布机构：国家卫生健康委办公厅。正式年份及实际版本：2023 国卫办医政函〔2023〕11号。资料性质：管理通知。适用年龄和人群：开展儿科服务的医疗机构。本次核验范围：官方全文。可用关键证据及限制：医师处方、药师审方、护士给药各环节核对，超说明书用药按法定情形和院内制度管理。 核验日期：2026年10月30日。</w:t>
      </w:r>
      <w:hyperlink r:id="rId11">
        <w:r>
          <w:rPr>
            <w:color w:val="000000"/>
          </w:rPr>
          <w:t>原始来源或发布页</w:t>
        </w:r>
      </w:hyperlink>
    </w:p>
    <w:p>
      <w:bookmarkStart w:id="29" w:name="S0029"/>
      <w:pPr>
        <w:pStyle w:val="Heading2"/>
      </w:pPr>
      <w:r>
        <w:t>R32 抗菌药物临床应用指导原则（2015年版）</w:t>
      </w:r>
      <w:bookmarkEnd w:id="29"/>
    </w:p>
    <w:p>
      <w:r>
        <w:rPr>
          <w:b w:val="0"/>
        </w:rPr>
        <w:t>发布机构：国家卫生计生委 国家中医药管理局等。正式年份及实际版本：2015。资料性质：指导原则。适用年龄和人群：含儿童特殊人群。本次核验范围：官方通知及PDF入口。可用关键证据及限制：适应证、病原和年龄药代动力学综合审查，说明书和本院耐药数据需逐例核对。 核验日期：2026年10月30日。</w:t>
      </w:r>
      <w:hyperlink r:id="rId12">
        <w:r>
          <w:rPr>
            <w:color w:val="000000"/>
          </w:rPr>
          <w:t>原始来源或发布页</w:t>
        </w:r>
      </w:hyperlink>
    </w:p>
    <w:p>
      <w:bookmarkStart w:id="30" w:name="S0030"/>
      <w:pPr>
        <w:pStyle w:val="Heading2"/>
      </w:pPr>
      <w:r>
        <w:t>R16 早产儿肠内营养管理专家共识（2024年）</w:t>
      </w:r>
      <w:bookmarkEnd w:id="30"/>
    </w:p>
    <w:p>
      <w:r>
        <w:rPr>
          <w:b w:val="0"/>
        </w:rPr>
        <w:t>发布机构：中国医师协会新生儿科医师分会营养专业委员会 早产儿专业委员会 中国当代儿科杂志编辑委员会。正式年份及实际版本：2024。资料性质：专家共识。适用年龄和人群：早产儿肠内营养。本次核验范围：期刊原始正文入口与共识文本。可用关键证据及限制：按喂养耐受和纵向生长监测调整；不把营养目标当作实际摄入。 核验日期：2026年10月30日。</w:t>
      </w:r>
      <w:hyperlink r:id="rId13">
        <w:r>
          <w:rPr>
            <w:color w:val="000000"/>
          </w:rPr>
          <w:t>原始来源或发布页</w:t>
        </w:r>
      </w:hyperlink>
    </w:p>
    <w:p>
      <w:bookmarkStart w:id="31" w:name="S0031"/>
      <w:pPr>
        <w:pStyle w:val="Heading2"/>
      </w:pPr>
      <w:r>
        <w:t>R40 药品不良反应报告和监测管理办法</w:t>
      </w:r>
      <w:bookmarkEnd w:id="31"/>
    </w:p>
    <w:p>
      <w:r>
        <w:rPr>
          <w:b w:val="0"/>
        </w:rPr>
        <w:t>发布机构：卫生部 国家食品药品监督管理局。正式年份及实际版本：2011 部令第81号。资料性质：部门规章。适用年龄和人群：医疗机构与药品相关主体。本次核验范围：官方条文。可用关键证据及限制：记录疑似不良反应、处置及上报实际状态，不自动认因果或已上报。 核验日期：2026年10月30日。</w:t>
      </w:r>
      <w:hyperlink r:id="rId14">
        <w:r>
          <w:rPr>
            <w:color w:val="000000"/>
          </w:rPr>
          <w:t>原始来源或发布页</w:t>
        </w:r>
      </w:hyperlink>
    </w:p>
    <w:p>
      <w:bookmarkStart w:id="32" w:name="S0032"/>
      <w:pPr>
        <w:pStyle w:val="Heading2"/>
      </w:pPr>
      <w:r>
        <w:t>R41 关于改革完善儿童用药供应保障机制的实施意见</w:t>
      </w:r>
      <w:bookmarkEnd w:id="32"/>
    </w:p>
    <w:p>
      <w:r>
        <w:rPr>
          <w:b w:val="0"/>
        </w:rPr>
        <w:t>发布机构：国家卫生健康委等 以文件署名为准。正式年份及实际版本：2026-05。资料性质：政策意见。适用年龄和人群：儿童用药供应与管理。本次核验范围：官方正文。可用关键证据及限制：支持儿科制剂与合理用药管理，不能据政策外推具体药品已获儿童适应证。 核验日期：2026年10月30日。</w:t>
      </w:r>
      <w:hyperlink r:id="rId15">
        <w:r>
          <w:rPr>
            <w:color w:val="000000"/>
          </w:rPr>
          <w:t>原始来源或发布页</w:t>
        </w:r>
      </w:hyperlink>
    </w:p>
    <w:p>
      <w:bookmarkStart w:id="33" w:name="S0033"/>
      <w:pPr>
        <w:pStyle w:val="Heading2"/>
      </w:pPr>
      <w:r>
        <w:t>R44 新生儿肠外营养管理专家共识（2025）</w:t>
      </w:r>
      <w:bookmarkEnd w:id="33"/>
    </w:p>
    <w:p>
      <w:r>
        <w:rPr>
          <w:b w:val="0"/>
        </w:rPr>
        <w:t>发布机构：中国医师协会新生儿科医师分会相关专业委员会 中国当代儿科杂志编辑委员会 署名以原文为准。正式年份及实际版本：2025。资料性质：专家共识。适用年龄和人群：危重新生儿及早产儿。本次核验范围：学会官网导读及正文入口 非全部处方核验。可用关键证据及限制：区分PN适应证、实际输注与并发症监测，不凭体重自动配制处方。 核验日期：2026年10月30日。</w:t>
      </w:r>
      <w:hyperlink r:id="rId16">
        <w:r>
          <w:rPr>
            <w:color w:val="000000"/>
          </w:rPr>
          <w:t>原始来源或发布页</w:t>
        </w:r>
      </w:hyperlink>
    </w:p>
    <w:p>
      <w:bookmarkStart w:id="34" w:name="S0034"/>
      <w:pPr>
        <w:pStyle w:val="Heading2"/>
      </w:pPr>
      <w:r>
        <w:t>尚待补齐的来源</w:t>
      </w:r>
      <w:bookmarkEnd w:id="34"/>
    </w:p>
    <w:p>
      <w:r>
        <w:rPr>
          <w:b w:val="0"/>
        </w:rPr>
        <w:t>医院有效制度、收治年龄范围、危急值标准、各药品说明书和制剂浓度目录、操作授权及科室特定诊疗路径尚未提供；不虚构医院名称、制度编号或审批完成。许多罕见病、先心病亚型、肿瘤方案、风湿及遗传内分泌专病的直接全文未逐病核验，此版仅启用定性书写提示和证据门槛。使用具体阈值或方案前必须补充正式原文并经实际专科医师审核。</w:t>
      </w:r>
    </w:p>
    <w:p>
      <w:bookmarkStart w:id="35" w:name="S0035"/>
      <w:pPr>
        <w:pStyle w:val="Heading1"/>
      </w:pPr>
      <w:r>
        <w:t>版本更新与维护说明</w:t>
      </w:r>
      <w:bookmarkEnd w:id="35"/>
    </w:p>
    <w:p>
      <w:r>
        <w:rPr>
          <w:b w:val="0"/>
        </w:rPr>
        <w:t>版本V1.0，编制与公开来源核验日期2026年10月30日。维护时记录变更原因、涉及模块、来源版本、审核者和测试范围；重要指南、说明书、警戒或院内流程变更立即复核。建议季度检查链接及版本，频率为本库维护建议而非国家强制。新阈值或剂量只有在原始全文、适用人群、推荐内容和院内审核齐全后启用。未取得医院名称、制度编号、收治年龄、药品目录、危急值与操作权限文件，故院内适配未完成；不得宣称全院临床验收通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91" w:bottom="1134" w:left="1304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页 / 共 </w:t>
    </w:r>
    <w:r>
      <w:fldChar w:fldCharType="begin"/>
      <w:instrText xml:space="preserve"> NUMPAGES </w:instrText>
      <w:fldChar w:fldCharType="separate"/>
      <w:t>1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儿科AI病历书写系统 V1.0　模块 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widowControl/>
      <w:spacing w:line="264" w:lineRule="auto" w:after="20"/>
    </w:pPr>
    <w:rPr>
      <w:rFonts w:ascii="Menlo" w:hAnsi="Menlo" w:eastAsia="Arial Unicode MS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yzygj/c100068/202301/f9bf8d16824a463c8e11c21b56813a95.shtml" TargetMode="External"/><Relationship Id="rId12" Type="http://schemas.openxmlformats.org/officeDocument/2006/relationships/hyperlink" Target="https://www.nhc.gov.cn/yzygj/c100068/201508/9f7136d6fb034339a7c9348c72a8a1fd.shtml" TargetMode="External"/><Relationship Id="rId13" Type="http://schemas.openxmlformats.org/officeDocument/2006/relationships/hyperlink" Target="https://cjournal.hep.com.cn/1008-8830/CN/1160166325231477062" TargetMode="External"/><Relationship Id="rId14" Type="http://schemas.openxmlformats.org/officeDocument/2006/relationships/hyperlink" Target="https://www.nhc.gov.cn/wjw/bmgz/201105/c64adc87325f40d7a6f52cff26ed9598.shtml" TargetMode="External"/><Relationship Id="rId15" Type="http://schemas.openxmlformats.org/officeDocument/2006/relationships/hyperlink" Target="https://www.nhc.gov.cn/yaozs/c100098/202605/2f111457f6a046869535f9bea5e46bf2.shtml" TargetMode="External"/><Relationship Id="rId16" Type="http://schemas.openxmlformats.org/officeDocument/2006/relationships/hyperlink" Target="https://cspm.cma.org.cn/index/news?id=36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儿科合理用药液体营养治疗及医嘱表达规则库</dc:title>
  <dc:subject>儿科医学文书规则库 医师审核前使用</dc:subject>
  <dc:creator>儿科病历模板库</dc:creator>
  <cp:keywords>儿科 新生儿 NICU PICU 事实溯源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