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09 儿科喂养生长发育康复出院及长期随访模板库</w:t>
      </w:r>
    </w:p>
    <w:p>
      <w:r>
        <w:t>版本 V1.0　编制与核验日期 2026年10月30日</w:t>
      </w:r>
    </w:p>
    <w:p>
      <w:r>
        <w:t>所属层级 第2级　模块编号 09</w:t>
      </w:r>
    </w:p>
    <w:p>
      <w:r>
        <w:t>喂养、康复、出院核对、家庭教育及长期生长发育转衔。</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28项长期管理路径</w:t>
        </w:r>
      </w:hyperlink>
    </w:p>
    <w:p>
      <w:pPr>
        <w:spacing w:after="40"/>
        <w:ind w:left="227"/>
      </w:pPr>
      <w:hyperlink w:anchor="S0004">
        <w:r>
          <w:rPr>
            <w:color w:val="000000"/>
          </w:rPr>
          <w:t>01 新生儿喂养</w:t>
        </w:r>
      </w:hyperlink>
    </w:p>
    <w:p>
      <w:pPr>
        <w:spacing w:after="40"/>
        <w:ind w:left="227"/>
      </w:pPr>
      <w:hyperlink w:anchor="S0005">
        <w:r>
          <w:rPr>
            <w:color w:val="000000"/>
          </w:rPr>
          <w:t>02 早产儿出院后随访</w:t>
        </w:r>
      </w:hyperlink>
    </w:p>
    <w:p>
      <w:pPr>
        <w:spacing w:after="40"/>
        <w:ind w:left="227"/>
      </w:pPr>
      <w:hyperlink w:anchor="S0006">
        <w:r>
          <w:rPr>
            <w:color w:val="000000"/>
          </w:rPr>
          <w:t>03 婴儿喂养</w:t>
        </w:r>
      </w:hyperlink>
    </w:p>
    <w:p>
      <w:pPr>
        <w:spacing w:after="40"/>
        <w:ind w:left="227"/>
      </w:pPr>
      <w:hyperlink w:anchor="S0007">
        <w:r>
          <w:rPr>
            <w:color w:val="000000"/>
          </w:rPr>
          <w:t>04 辅食添加相关记录</w:t>
        </w:r>
      </w:hyperlink>
    </w:p>
    <w:p>
      <w:pPr>
        <w:spacing w:after="40"/>
        <w:ind w:left="227"/>
      </w:pPr>
      <w:hyperlink w:anchor="S0008">
        <w:r>
          <w:rPr>
            <w:color w:val="000000"/>
          </w:rPr>
          <w:t>05 营养风险管理</w:t>
        </w:r>
      </w:hyperlink>
    </w:p>
    <w:p>
      <w:pPr>
        <w:spacing w:after="40"/>
        <w:ind w:left="227"/>
      </w:pPr>
      <w:hyperlink w:anchor="S0009">
        <w:r>
          <w:rPr>
            <w:color w:val="000000"/>
          </w:rPr>
          <w:t>06 生长曲线管理</w:t>
        </w:r>
      </w:hyperlink>
    </w:p>
    <w:p>
      <w:pPr>
        <w:spacing w:after="40"/>
        <w:ind w:left="227"/>
      </w:pPr>
      <w:hyperlink w:anchor="S0010">
        <w:r>
          <w:rPr>
            <w:color w:val="000000"/>
          </w:rPr>
          <w:t>07 身高和体重监测</w:t>
        </w:r>
      </w:hyperlink>
    </w:p>
    <w:p>
      <w:pPr>
        <w:spacing w:after="40"/>
        <w:ind w:left="227"/>
      </w:pPr>
      <w:hyperlink w:anchor="S0011">
        <w:r>
          <w:rPr>
            <w:color w:val="000000"/>
          </w:rPr>
          <w:t>08 头围监测</w:t>
        </w:r>
      </w:hyperlink>
    </w:p>
    <w:p>
      <w:pPr>
        <w:spacing w:after="40"/>
        <w:ind w:left="227"/>
      </w:pPr>
      <w:hyperlink w:anchor="S0012">
        <w:r>
          <w:rPr>
            <w:color w:val="000000"/>
          </w:rPr>
          <w:t>09 生长发育评估</w:t>
        </w:r>
      </w:hyperlink>
    </w:p>
    <w:p>
      <w:pPr>
        <w:spacing w:after="40"/>
        <w:ind w:left="227"/>
      </w:pPr>
      <w:hyperlink w:anchor="S0013">
        <w:r>
          <w:rPr>
            <w:color w:val="000000"/>
          </w:rPr>
          <w:t>10 发育迟缓随访</w:t>
        </w:r>
      </w:hyperlink>
    </w:p>
    <w:p>
      <w:pPr>
        <w:spacing w:after="40"/>
        <w:ind w:left="227"/>
      </w:pPr>
      <w:hyperlink w:anchor="S0014">
        <w:r>
          <w:rPr>
            <w:color w:val="000000"/>
          </w:rPr>
          <w:t>11 语言发育管理</w:t>
        </w:r>
      </w:hyperlink>
    </w:p>
    <w:p>
      <w:pPr>
        <w:spacing w:after="40"/>
        <w:ind w:left="227"/>
      </w:pPr>
      <w:hyperlink w:anchor="S0015">
        <w:r>
          <w:rPr>
            <w:color w:val="000000"/>
          </w:rPr>
          <w:t>12 运动发育管理</w:t>
        </w:r>
      </w:hyperlink>
    </w:p>
    <w:p>
      <w:pPr>
        <w:spacing w:after="40"/>
        <w:ind w:left="227"/>
      </w:pPr>
      <w:hyperlink w:anchor="S0016">
        <w:r>
          <w:rPr>
            <w:color w:val="000000"/>
          </w:rPr>
          <w:t>13 神经系统疾病康复</w:t>
        </w:r>
      </w:hyperlink>
    </w:p>
    <w:p>
      <w:pPr>
        <w:spacing w:after="40"/>
        <w:ind w:left="227"/>
      </w:pPr>
      <w:hyperlink w:anchor="S0017">
        <w:r>
          <w:rPr>
            <w:color w:val="000000"/>
          </w:rPr>
          <w:t>14 慢性呼吸系统疾病随访</w:t>
        </w:r>
      </w:hyperlink>
    </w:p>
    <w:p>
      <w:pPr>
        <w:spacing w:after="40"/>
        <w:ind w:left="227"/>
      </w:pPr>
      <w:hyperlink w:anchor="S0018">
        <w:r>
          <w:rPr>
            <w:color w:val="000000"/>
          </w:rPr>
          <w:t>15 儿童哮喘长期管理</w:t>
        </w:r>
      </w:hyperlink>
    </w:p>
    <w:p>
      <w:pPr>
        <w:spacing w:after="40"/>
        <w:ind w:left="227"/>
      </w:pPr>
      <w:hyperlink w:anchor="S0019">
        <w:r>
          <w:rPr>
            <w:color w:val="000000"/>
          </w:rPr>
          <w:t>16 儿童肾病长期管理</w:t>
        </w:r>
      </w:hyperlink>
    </w:p>
    <w:p>
      <w:pPr>
        <w:spacing w:after="40"/>
        <w:ind w:left="227"/>
      </w:pPr>
      <w:hyperlink w:anchor="S0020">
        <w:r>
          <w:rPr>
            <w:color w:val="000000"/>
          </w:rPr>
          <w:t>17 儿童心血管疾病随访</w:t>
        </w:r>
      </w:hyperlink>
    </w:p>
    <w:p>
      <w:pPr>
        <w:spacing w:after="40"/>
        <w:ind w:left="227"/>
      </w:pPr>
      <w:hyperlink w:anchor="S0021">
        <w:r>
          <w:rPr>
            <w:color w:val="000000"/>
          </w:rPr>
          <w:t>18 糖尿病与内分泌疾病管理</w:t>
        </w:r>
      </w:hyperlink>
    </w:p>
    <w:p>
      <w:pPr>
        <w:spacing w:after="40"/>
        <w:ind w:left="227"/>
      </w:pPr>
      <w:hyperlink w:anchor="S0022">
        <w:r>
          <w:rPr>
            <w:color w:val="000000"/>
          </w:rPr>
          <w:t>19 血液及肿瘤相关治疗后随访</w:t>
        </w:r>
      </w:hyperlink>
    </w:p>
    <w:p>
      <w:pPr>
        <w:spacing w:after="40"/>
        <w:ind w:left="227"/>
      </w:pPr>
      <w:hyperlink w:anchor="S0023">
        <w:r>
          <w:rPr>
            <w:color w:val="000000"/>
          </w:rPr>
          <w:t>20 免疫缺陷与特殊感染风险管理</w:t>
        </w:r>
      </w:hyperlink>
    </w:p>
    <w:p>
      <w:pPr>
        <w:spacing w:after="40"/>
        <w:ind w:left="227"/>
      </w:pPr>
      <w:hyperlink w:anchor="S0024">
        <w:r>
          <w:rPr>
            <w:color w:val="000000"/>
          </w:rPr>
          <w:t>21 预防接种史核对</w:t>
        </w:r>
      </w:hyperlink>
    </w:p>
    <w:p>
      <w:pPr>
        <w:spacing w:after="40"/>
        <w:ind w:left="227"/>
      </w:pPr>
      <w:hyperlink w:anchor="S0025">
        <w:r>
          <w:rPr>
            <w:color w:val="000000"/>
          </w:rPr>
          <w:t>22 免疫接种与疾病及治疗的关系</w:t>
        </w:r>
      </w:hyperlink>
    </w:p>
    <w:p>
      <w:pPr>
        <w:spacing w:after="40"/>
        <w:ind w:left="227"/>
      </w:pPr>
      <w:hyperlink w:anchor="S0026">
        <w:r>
          <w:rPr>
            <w:color w:val="000000"/>
          </w:rPr>
          <w:t>23 出院用药核对</w:t>
        </w:r>
      </w:hyperlink>
    </w:p>
    <w:p>
      <w:pPr>
        <w:spacing w:after="40"/>
        <w:ind w:left="227"/>
      </w:pPr>
      <w:hyperlink w:anchor="S0027">
        <w:r>
          <w:rPr>
            <w:color w:val="000000"/>
          </w:rPr>
          <w:t>24 出院喂养及营养计划</w:t>
        </w:r>
      </w:hyperlink>
    </w:p>
    <w:p>
      <w:pPr>
        <w:spacing w:after="40"/>
        <w:ind w:left="227"/>
      </w:pPr>
      <w:hyperlink w:anchor="S0028">
        <w:r>
          <w:rPr>
            <w:color w:val="000000"/>
          </w:rPr>
          <w:t>25 出院复诊</w:t>
        </w:r>
      </w:hyperlink>
    </w:p>
    <w:p>
      <w:pPr>
        <w:spacing w:after="40"/>
        <w:ind w:left="227"/>
      </w:pPr>
      <w:hyperlink w:anchor="S0029">
        <w:r>
          <w:rPr>
            <w:color w:val="000000"/>
          </w:rPr>
          <w:t>26 病情恶化警示症状</w:t>
        </w:r>
      </w:hyperlink>
    </w:p>
    <w:p>
      <w:pPr>
        <w:spacing w:after="40"/>
        <w:ind w:left="227"/>
      </w:pPr>
      <w:hyperlink w:anchor="S0030">
        <w:r>
          <w:rPr>
            <w:color w:val="000000"/>
          </w:rPr>
          <w:t>27 家长及监护人健康教育</w:t>
        </w:r>
      </w:hyperlink>
    </w:p>
    <w:p>
      <w:pPr>
        <w:spacing w:after="40"/>
        <w:ind w:left="227"/>
      </w:pPr>
      <w:hyperlink w:anchor="S0031">
        <w:r>
          <w:rPr>
            <w:color w:val="000000"/>
          </w:rPr>
          <w:t>28 青春期特殊随访需求</w:t>
        </w:r>
      </w:hyperlink>
    </w:p>
    <w:p>
      <w:pPr>
        <w:spacing w:after="40"/>
        <w:ind w:left="0"/>
      </w:pPr>
      <w:hyperlink w:anchor="S0032">
        <w:r>
          <w:rPr>
            <w:color w:val="000000"/>
          </w:rPr>
          <w:t>免疫程序版本更新</w:t>
        </w:r>
      </w:hyperlink>
    </w:p>
    <w:p>
      <w:pPr>
        <w:spacing w:after="40"/>
        <w:ind w:left="0"/>
      </w:pPr>
      <w:hyperlink w:anchor="S0033">
        <w:r>
          <w:rPr>
            <w:color w:val="000000"/>
          </w:rPr>
          <w:t>出院医嘱成稿门槛</w:t>
        </w:r>
      </w:hyperlink>
    </w:p>
    <w:p>
      <w:pPr>
        <w:spacing w:after="40"/>
        <w:ind w:left="0"/>
      </w:pPr>
      <w:hyperlink w:anchor="S0034">
        <w:r>
          <w:rPr>
            <w:color w:val="000000"/>
          </w:rPr>
          <w:t>完整虚构病例与输出示例</w:t>
        </w:r>
      </w:hyperlink>
    </w:p>
    <w:p>
      <w:pPr>
        <w:spacing w:after="40"/>
        <w:ind w:left="0"/>
      </w:pPr>
      <w:hyperlink w:anchor="S0035">
        <w:r>
          <w:rPr>
            <w:color w:val="000000"/>
          </w:rPr>
          <w:t>医学真实性边界 常见错误与模块协同</w:t>
        </w:r>
      </w:hyperlink>
    </w:p>
    <w:p>
      <w:pPr>
        <w:spacing w:after="40"/>
        <w:ind w:left="0"/>
      </w:pPr>
      <w:hyperlink w:anchor="S0036">
        <w:r>
          <w:rPr>
            <w:color w:val="000000"/>
          </w:rPr>
          <w:t>模块质量控制清单</w:t>
        </w:r>
      </w:hyperlink>
    </w:p>
    <w:p>
      <w:pPr>
        <w:spacing w:after="40"/>
        <w:ind w:left="0"/>
      </w:pPr>
      <w:hyperlink w:anchor="S0037">
        <w:r>
          <w:rPr>
            <w:color w:val="000000"/>
          </w:rPr>
          <w:t>指南规范及证据来源</w:t>
        </w:r>
      </w:hyperlink>
    </w:p>
    <w:p>
      <w:pPr>
        <w:spacing w:after="40"/>
        <w:ind w:left="227"/>
      </w:pPr>
      <w:hyperlink w:anchor="S0038">
        <w:r>
          <w:rPr>
            <w:color w:val="000000"/>
          </w:rPr>
          <w:t>R05 7岁以下儿童生长标准</w:t>
        </w:r>
      </w:hyperlink>
    </w:p>
    <w:p>
      <w:pPr>
        <w:spacing w:after="40"/>
        <w:ind w:left="227"/>
      </w:pPr>
      <w:hyperlink w:anchor="S0039">
        <w:r>
          <w:rPr>
            <w:color w:val="000000"/>
          </w:rPr>
          <w:t>R17 新生儿访视等儿童保健技术规范</w:t>
        </w:r>
      </w:hyperlink>
    </w:p>
    <w:p>
      <w:pPr>
        <w:spacing w:after="40"/>
        <w:ind w:left="227"/>
      </w:pPr>
      <w:hyperlink w:anchor="S0040">
        <w:r>
          <w:rPr>
            <w:color w:val="000000"/>
          </w:rPr>
          <w:t>R33 国家免疫规划疫苗儿童免疫程序及说明（2021年版）</w:t>
        </w:r>
      </w:hyperlink>
    </w:p>
    <w:p>
      <w:pPr>
        <w:spacing w:after="40"/>
        <w:ind w:left="227"/>
      </w:pPr>
      <w:hyperlink w:anchor="S0041">
        <w:r>
          <w:rPr>
            <w:color w:val="000000"/>
          </w:rPr>
          <w:t>R34 关于国家免疫规划百白破疫苗和白破疫苗免疫程序调整相关工作的通知</w:t>
        </w:r>
      </w:hyperlink>
    </w:p>
    <w:p>
      <w:pPr>
        <w:spacing w:after="40"/>
        <w:ind w:left="227"/>
      </w:pPr>
      <w:hyperlink w:anchor="S0042">
        <w:r>
          <w:rPr>
            <w:color w:val="000000"/>
          </w:rPr>
          <w:t>R35 关于将人乳头瘤病毒疫苗纳入国家免疫规划有关工作事宜的通知</w:t>
        </w:r>
      </w:hyperlink>
    </w:p>
    <w:p>
      <w:pPr>
        <w:spacing w:after="40"/>
        <w:ind w:left="227"/>
      </w:pPr>
      <w:hyperlink w:anchor="S0043">
        <w:r>
          <w:rPr>
            <w:color w:val="000000"/>
          </w:rPr>
          <w:t>R45 早产儿视网膜病预防管理专家共识（2024）</w:t>
        </w:r>
      </w:hyperlink>
    </w:p>
    <w:p>
      <w:pPr>
        <w:spacing w:after="40"/>
        <w:ind w:left="227"/>
      </w:pPr>
      <w:hyperlink w:anchor="S0044">
        <w:r>
          <w:rPr>
            <w:color w:val="000000"/>
          </w:rPr>
          <w:t>R47 早产儿出院后随访与健康管理专家共识（2025）</w:t>
        </w:r>
      </w:hyperlink>
    </w:p>
    <w:p>
      <w:pPr>
        <w:spacing w:after="40"/>
        <w:ind w:left="227"/>
      </w:pPr>
      <w:hyperlink w:anchor="S0045">
        <w:r>
          <w:rPr>
            <w:color w:val="000000"/>
          </w:rPr>
          <w:t>尚待补齐的来源</w:t>
        </w:r>
      </w:hyperlink>
    </w:p>
    <w:p>
      <w:pPr>
        <w:spacing w:after="40"/>
        <w:ind w:left="0"/>
      </w:pPr>
      <w:hyperlink w:anchor="S0046">
        <w:r>
          <w:rPr>
            <w:color w:val="000000"/>
          </w:rPr>
          <w:t>版本更新与维护说明</w:t>
        </w:r>
      </w:hyperlink>
    </w:p>
    <w:p>
      <w:r>
        <w:br w:type="page"/>
      </w:r>
    </w:p>
    <w:p>
      <w:bookmarkStart w:id="0" w:name="S0000"/>
      <w:pPr>
        <w:pStyle w:val="Heading1"/>
      </w:pPr>
      <w:r>
        <w:t>模块定位及调用契约</w:t>
      </w:r>
      <w:bookmarkEnd w:id="0"/>
    </w:p>
    <w:p>
      <w:r>
        <w:rPr>
          <w:b w:val="0"/>
        </w:rPr>
        <w:t>版本V1.0。所属第2级。功能定位：喂养、康复、出院核对、家庭教育及长期生长发育转衔。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28项长期管理路径</w:t>
      </w:r>
      <w:bookmarkEnd w:id="3"/>
    </w:p>
    <w:p>
      <w:r>
        <w:rPr>
          <w:b w:val="0"/>
        </w:rPr>
        <w:t>出院不是疾病自动治愈。先核最终诊断、当日病情、体重及年龄、真实药物装置状态、喂养耐受、家庭条件和接收随访资源。康复允许、计划和实际训练能力分开。待回检查落实谁接收、何时查看、如何联系和什么结果触发回院，不能写“结果正常”结束任务。</w:t>
      </w:r>
    </w:p>
    <w:p>
      <w:bookmarkStart w:id="4" w:name="S0004"/>
      <w:pPr>
        <w:pStyle w:val="Heading2"/>
      </w:pPr>
      <w:r>
        <w:t>01 新生儿喂养</w:t>
      </w:r>
      <w:bookmarkEnd w:id="4"/>
    </w:p>
    <w:p>
      <w:r>
        <w:rPr>
          <w:b w:val="0"/>
        </w:rPr>
        <w:t>重点：奶种、吸吮、黄疸、尿便和体重，直接哺乳不估造奶量。必需资料为当前病例事实、专科意见和家庭执行条件。把目标、医师建议和实际执行分开；根据变化调整。</w:t>
      </w:r>
    </w:p>
    <w:p>
      <w:r>
        <w:rPr>
          <w:b w:val="0"/>
        </w:rPr>
        <w:t>【文书日期及时间】 新生儿喂养记录</w:t>
      </w:r>
    </w:p>
    <w:p>
      <w:pPr>
        <w:pStyle w:val="CodeText"/>
      </w:pPr>
      <w:r>
        <w:t>```text</w:t>
      </w:r>
    </w:p>
    <w:p>
      <w:pPr>
        <w:pStyle w:val="CodeText"/>
      </w:pPr>
      <w:r>
        <w:t>患儿【年龄及疾病阶段】，当前【与奶种、吸吮、黄疸、尿便和体重，直接哺乳不估造奶量有关的真实状态】，评估依据【实际测量、检查和信息来源】，拟定【个体目标及具体措施】，已完成【实际教育或训练】，后续【复诊时点项目、责任和本例警示】。</w:t>
      </w:r>
    </w:p>
    <w:p>
      <w:pPr>
        <w:pStyle w:val="CodeText"/>
      </w:pPr>
      <w:r>
        <w:t>```</w:t>
      </w:r>
    </w:p>
    <w:p>
      <w:bookmarkStart w:id="5" w:name="S0005"/>
      <w:pPr>
        <w:pStyle w:val="Heading2"/>
      </w:pPr>
      <w:r>
        <w:t>02 早产儿出院后随访</w:t>
      </w:r>
      <w:bookmarkEnd w:id="5"/>
    </w:p>
    <w:p>
      <w:r>
        <w:rPr>
          <w:b w:val="0"/>
        </w:rPr>
        <w:t>重点：出生胎龄、月经后年龄与校正年龄、ROP听力及神经任务闭环。必需资料为当前病例事实、专科意见和家庭执行条件。把目标、医师建议和实际执行分开；根据变化调整。</w:t>
      </w:r>
    </w:p>
    <w:p>
      <w:r>
        <w:rPr>
          <w:b w:val="0"/>
        </w:rPr>
        <w:t>【文书日期及时间】 早产儿出院后随访记录</w:t>
      </w:r>
    </w:p>
    <w:p>
      <w:pPr>
        <w:pStyle w:val="CodeText"/>
      </w:pPr>
      <w:r>
        <w:t>```text</w:t>
      </w:r>
    </w:p>
    <w:p>
      <w:pPr>
        <w:pStyle w:val="CodeText"/>
      </w:pPr>
      <w:r>
        <w:t>患儿【年龄及疾病阶段】，当前【与出生胎龄、月经后年龄与校正年龄、ROP听力及神经任务闭环有关的真实状态】，评估依据【实际测量、检查和信息来源】，拟定【个体目标及具体措施】，已完成【实际教育或训练】，后续【复诊时点项目、责任和本例警示】。</w:t>
      </w:r>
    </w:p>
    <w:p>
      <w:pPr>
        <w:pStyle w:val="CodeText"/>
      </w:pPr>
      <w:r>
        <w:t>```</w:t>
      </w:r>
    </w:p>
    <w:p>
      <w:bookmarkStart w:id="6" w:name="S0006"/>
      <w:pPr>
        <w:pStyle w:val="Heading2"/>
      </w:pPr>
      <w:r>
        <w:t>03 婴儿喂养</w:t>
      </w:r>
      <w:bookmarkEnd w:id="6"/>
    </w:p>
    <w:p>
      <w:r>
        <w:rPr>
          <w:b w:val="0"/>
        </w:rPr>
        <w:t>重点：母乳支持、配方浓度、喂养互动及适龄补充。必需资料为当前病例事实、专科意见和家庭执行条件。把目标、医师建议和实际执行分开；根据变化调整。</w:t>
      </w:r>
    </w:p>
    <w:p>
      <w:r>
        <w:rPr>
          <w:b w:val="0"/>
        </w:rPr>
        <w:t>【文书日期及时间】 婴儿喂养记录</w:t>
      </w:r>
    </w:p>
    <w:p>
      <w:pPr>
        <w:pStyle w:val="CodeText"/>
      </w:pPr>
      <w:r>
        <w:t>```text</w:t>
      </w:r>
    </w:p>
    <w:p>
      <w:pPr>
        <w:pStyle w:val="CodeText"/>
      </w:pPr>
      <w:r>
        <w:t>患儿【年龄及疾病阶段】，当前【与母乳支持、配方浓度、喂养互动及适龄补充有关的真实状态】，评估依据【实际测量、检查和信息来源】，拟定【个体目标及具体措施】，已完成【实际教育或训练】，后续【复诊时点项目、责任和本例警示】。</w:t>
      </w:r>
    </w:p>
    <w:p>
      <w:pPr>
        <w:pStyle w:val="CodeText"/>
      </w:pPr>
      <w:r>
        <w:t>```</w:t>
      </w:r>
    </w:p>
    <w:p>
      <w:bookmarkStart w:id="7" w:name="S0007"/>
      <w:pPr>
        <w:pStyle w:val="Heading2"/>
      </w:pPr>
      <w:r>
        <w:t>04 辅食添加相关记录</w:t>
      </w:r>
      <w:bookmarkEnd w:id="7"/>
    </w:p>
    <w:p>
      <w:r>
        <w:rPr>
          <w:b w:val="0"/>
        </w:rPr>
        <w:t>重点：实际年龄、发展技能、质地、多样化和食物过敏风险。必需资料为当前病例事实、专科意见和家庭执行条件。把目标、医师建议和实际执行分开；根据变化调整。</w:t>
      </w:r>
    </w:p>
    <w:p>
      <w:r>
        <w:rPr>
          <w:b w:val="0"/>
        </w:rPr>
        <w:t>【文书日期及时间】 辅食添加相关记录记录</w:t>
      </w:r>
    </w:p>
    <w:p>
      <w:pPr>
        <w:pStyle w:val="CodeText"/>
      </w:pPr>
      <w:r>
        <w:t>```text</w:t>
      </w:r>
    </w:p>
    <w:p>
      <w:pPr>
        <w:pStyle w:val="CodeText"/>
      </w:pPr>
      <w:r>
        <w:t>患儿【年龄及疾病阶段】，当前【与实际年龄、发展技能、质地、多样化和食物过敏风险有关的真实状态】，评估依据【实际测量、检查和信息来源】，拟定【个体目标及具体措施】，已完成【实际教育或训练】，后续【复诊时点项目、责任和本例警示】。</w:t>
      </w:r>
    </w:p>
    <w:p>
      <w:pPr>
        <w:pStyle w:val="CodeText"/>
      </w:pPr>
      <w:r>
        <w:t>```</w:t>
      </w:r>
    </w:p>
    <w:p>
      <w:bookmarkStart w:id="8" w:name="S0008"/>
      <w:pPr>
        <w:pStyle w:val="Heading2"/>
      </w:pPr>
      <w:r>
        <w:t>05 营养风险管理</w:t>
      </w:r>
      <w:bookmarkEnd w:id="8"/>
    </w:p>
    <w:p>
      <w:r>
        <w:rPr>
          <w:b w:val="0"/>
        </w:rPr>
        <w:t>重点：摄入、需求、丢失、测量及再喂养风险。必需资料为当前病例事实、专科意见和家庭执行条件。把目标、医师建议和实际执行分开；根据变化调整。</w:t>
      </w:r>
    </w:p>
    <w:p>
      <w:r>
        <w:rPr>
          <w:b w:val="0"/>
        </w:rPr>
        <w:t>【文书日期及时间】 营养风险管理记录</w:t>
      </w:r>
    </w:p>
    <w:p>
      <w:pPr>
        <w:pStyle w:val="CodeText"/>
      </w:pPr>
      <w:r>
        <w:t>```text</w:t>
      </w:r>
    </w:p>
    <w:p>
      <w:pPr>
        <w:pStyle w:val="CodeText"/>
      </w:pPr>
      <w:r>
        <w:t>患儿【年龄及疾病阶段】，当前【与摄入、需求、丢失、测量及再喂养风险有关的真实状态】，评估依据【实际测量、检查和信息来源】，拟定【个体目标及具体措施】，已完成【实际教育或训练】，后续【复诊时点项目、责任和本例警示】。</w:t>
      </w:r>
    </w:p>
    <w:p>
      <w:pPr>
        <w:pStyle w:val="CodeText"/>
      </w:pPr>
      <w:r>
        <w:t>```</w:t>
      </w:r>
    </w:p>
    <w:p>
      <w:bookmarkStart w:id="9" w:name="S0009"/>
      <w:pPr>
        <w:pStyle w:val="Heading2"/>
      </w:pPr>
      <w:r>
        <w:t>06 生长曲线管理</w:t>
      </w:r>
      <w:bookmarkEnd w:id="9"/>
    </w:p>
    <w:p>
      <w:r>
        <w:rPr>
          <w:b w:val="0"/>
        </w:rPr>
        <w:t>重点：同标准同方法纵向比较，曲线转换注明。必需资料为当前病例事实、专科意见和家庭执行条件。把目标、医师建议和实际执行分开；根据变化调整。</w:t>
      </w:r>
    </w:p>
    <w:p>
      <w:r>
        <w:rPr>
          <w:b w:val="0"/>
        </w:rPr>
        <w:t>【文书日期及时间】 生长曲线管理记录</w:t>
      </w:r>
    </w:p>
    <w:p>
      <w:pPr>
        <w:pStyle w:val="CodeText"/>
      </w:pPr>
      <w:r>
        <w:t>```text</w:t>
      </w:r>
    </w:p>
    <w:p>
      <w:pPr>
        <w:pStyle w:val="CodeText"/>
      </w:pPr>
      <w:r>
        <w:t>患儿【年龄及疾病阶段】，当前【与同标准同方法纵向比较，曲线转换注明有关的真实状态】，评估依据【实际测量、检查和信息来源】，拟定【个体目标及具体措施】，已完成【实际教育或训练】，后续【复诊时点项目、责任和本例警示】。</w:t>
      </w:r>
    </w:p>
    <w:p>
      <w:pPr>
        <w:pStyle w:val="CodeText"/>
      </w:pPr>
      <w:r>
        <w:t>```</w:t>
      </w:r>
    </w:p>
    <w:p>
      <w:bookmarkStart w:id="10" w:name="S0010"/>
      <w:pPr>
        <w:pStyle w:val="Heading2"/>
      </w:pPr>
      <w:r>
        <w:t>07 身高和体重监测</w:t>
      </w:r>
      <w:bookmarkEnd w:id="10"/>
    </w:p>
    <w:p>
      <w:r>
        <w:rPr>
          <w:b w:val="0"/>
        </w:rPr>
        <w:t>重点：测量日期器具体位及水肿解释。必需资料为当前病例事实、专科意见和家庭执行条件。把目标、医师建议和实际执行分开；根据变化调整。</w:t>
      </w:r>
    </w:p>
    <w:p>
      <w:r>
        <w:rPr>
          <w:b w:val="0"/>
        </w:rPr>
        <w:t>【文书日期及时间】 身高和体重监测记录</w:t>
      </w:r>
    </w:p>
    <w:p>
      <w:pPr>
        <w:pStyle w:val="CodeText"/>
      </w:pPr>
      <w:r>
        <w:t>```text</w:t>
      </w:r>
    </w:p>
    <w:p>
      <w:pPr>
        <w:pStyle w:val="CodeText"/>
      </w:pPr>
      <w:r>
        <w:t>患儿【年龄及疾病阶段】，当前【与测量日期器具体位及水肿解释有关的真实状态】，评估依据【实际测量、检查和信息来源】，拟定【个体目标及具体措施】，已完成【实际教育或训练】，后续【复诊时点项目、责任和本例警示】。</w:t>
      </w:r>
    </w:p>
    <w:p>
      <w:pPr>
        <w:pStyle w:val="CodeText"/>
      </w:pPr>
      <w:r>
        <w:t>```</w:t>
      </w:r>
    </w:p>
    <w:p>
      <w:bookmarkStart w:id="11" w:name="S0011"/>
      <w:pPr>
        <w:pStyle w:val="Heading2"/>
      </w:pPr>
      <w:r>
        <w:t>08 头围监测</w:t>
      </w:r>
      <w:bookmarkEnd w:id="11"/>
    </w:p>
    <w:p>
      <w:r>
        <w:rPr>
          <w:b w:val="0"/>
        </w:rPr>
        <w:t>重点：实测方法与趋势，单点异常须复核。必需资料为当前病例事实、专科意见和家庭执行条件。把目标、医师建议和实际执行分开；根据变化调整。</w:t>
      </w:r>
    </w:p>
    <w:p>
      <w:r>
        <w:rPr>
          <w:b w:val="0"/>
        </w:rPr>
        <w:t>【文书日期及时间】 头围监测记录</w:t>
      </w:r>
    </w:p>
    <w:p>
      <w:pPr>
        <w:pStyle w:val="CodeText"/>
      </w:pPr>
      <w:r>
        <w:t>```text</w:t>
      </w:r>
    </w:p>
    <w:p>
      <w:pPr>
        <w:pStyle w:val="CodeText"/>
      </w:pPr>
      <w:r>
        <w:t>患儿【年龄及疾病阶段】，当前【与实测方法与趋势，单点异常须复核有关的真实状态】，评估依据【实际测量、检查和信息来源】，拟定【个体目标及具体措施】，已完成【实际教育或训练】，后续【复诊时点项目、责任和本例警示】。</w:t>
      </w:r>
    </w:p>
    <w:p>
      <w:pPr>
        <w:pStyle w:val="CodeText"/>
      </w:pPr>
      <w:r>
        <w:t>```</w:t>
      </w:r>
    </w:p>
    <w:p>
      <w:bookmarkStart w:id="12" w:name="S0012"/>
      <w:pPr>
        <w:pStyle w:val="Heading2"/>
      </w:pPr>
      <w:r>
        <w:t>09 生长发育评估</w:t>
      </w:r>
      <w:bookmarkEnd w:id="12"/>
    </w:p>
    <w:p>
      <w:r>
        <w:rPr>
          <w:b w:val="0"/>
        </w:rPr>
        <w:t>重点：各领域、量表版本、年龄及校正范围。必需资料为当前病例事实、专科意见和家庭执行条件。把目标、医师建议和实际执行分开；根据变化调整。</w:t>
      </w:r>
    </w:p>
    <w:p>
      <w:r>
        <w:rPr>
          <w:b w:val="0"/>
        </w:rPr>
        <w:t>【文书日期及时间】 生长发育评估记录</w:t>
      </w:r>
    </w:p>
    <w:p>
      <w:pPr>
        <w:pStyle w:val="CodeText"/>
      </w:pPr>
      <w:r>
        <w:t>```text</w:t>
      </w:r>
    </w:p>
    <w:p>
      <w:pPr>
        <w:pStyle w:val="CodeText"/>
      </w:pPr>
      <w:r>
        <w:t>患儿【年龄及疾病阶段】，当前【与各领域、量表版本、年龄及校正范围有关的真实状态】，评估依据【实际测量、检查和信息来源】，拟定【个体目标及具体措施】，已完成【实际教育或训练】，后续【复诊时点项目、责任和本例警示】。</w:t>
      </w:r>
    </w:p>
    <w:p>
      <w:pPr>
        <w:pStyle w:val="CodeText"/>
      </w:pPr>
      <w:r>
        <w:t>```</w:t>
      </w:r>
    </w:p>
    <w:p>
      <w:bookmarkStart w:id="13" w:name="S0013"/>
      <w:pPr>
        <w:pStyle w:val="Heading2"/>
      </w:pPr>
      <w:r>
        <w:t>10 发育迟缓随访</w:t>
      </w:r>
      <w:bookmarkEnd w:id="13"/>
    </w:p>
    <w:p>
      <w:r>
        <w:rPr>
          <w:b w:val="0"/>
        </w:rPr>
        <w:t>重点：具体技能目标与是否退步，不机械给统一结论。必需资料为当前病例事实、专科意见和家庭执行条件。把目标、医师建议和实际执行分开；根据变化调整。</w:t>
      </w:r>
    </w:p>
    <w:p>
      <w:r>
        <w:rPr>
          <w:b w:val="0"/>
        </w:rPr>
        <w:t>【文书日期及时间】 发育迟缓随访记录</w:t>
      </w:r>
    </w:p>
    <w:p>
      <w:pPr>
        <w:pStyle w:val="CodeText"/>
      </w:pPr>
      <w:r>
        <w:t>```text</w:t>
      </w:r>
    </w:p>
    <w:p>
      <w:pPr>
        <w:pStyle w:val="CodeText"/>
      </w:pPr>
      <w:r>
        <w:t>患儿【年龄及疾病阶段】，当前【与具体技能目标与是否退步，不机械给统一结论有关的真实状态】，评估依据【实际测量、检查和信息来源】，拟定【个体目标及具体措施】，已完成【实际教育或训练】，后续【复诊时点项目、责任和本例警示】。</w:t>
      </w:r>
    </w:p>
    <w:p>
      <w:pPr>
        <w:pStyle w:val="CodeText"/>
      </w:pPr>
      <w:r>
        <w:t>```</w:t>
      </w:r>
    </w:p>
    <w:p>
      <w:bookmarkStart w:id="14" w:name="S0014"/>
      <w:pPr>
        <w:pStyle w:val="Heading2"/>
      </w:pPr>
      <w:r>
        <w:t>11 语言发育管理</w:t>
      </w:r>
      <w:bookmarkEnd w:id="14"/>
    </w:p>
    <w:p>
      <w:r>
        <w:rPr>
          <w:b w:val="0"/>
        </w:rPr>
        <w:t>重点：听力、理解表达和家庭互动。必需资料为当前病例事实、专科意见和家庭执行条件。把目标、医师建议和实际执行分开；根据变化调整。</w:t>
      </w:r>
    </w:p>
    <w:p>
      <w:r>
        <w:rPr>
          <w:b w:val="0"/>
        </w:rPr>
        <w:t>【文书日期及时间】 语言发育管理记录</w:t>
      </w:r>
    </w:p>
    <w:p>
      <w:pPr>
        <w:pStyle w:val="CodeText"/>
      </w:pPr>
      <w:r>
        <w:t>```text</w:t>
      </w:r>
    </w:p>
    <w:p>
      <w:pPr>
        <w:pStyle w:val="CodeText"/>
      </w:pPr>
      <w:r>
        <w:t>患儿【年龄及疾病阶段】，当前【与听力、理解表达和家庭互动有关的真实状态】，评估依据【实际测量、检查和信息来源】，拟定【个体目标及具体措施】，已完成【实际教育或训练】，后续【复诊时点项目、责任和本例警示】。</w:t>
      </w:r>
    </w:p>
    <w:p>
      <w:pPr>
        <w:pStyle w:val="CodeText"/>
      </w:pPr>
      <w:r>
        <w:t>```</w:t>
      </w:r>
    </w:p>
    <w:p>
      <w:bookmarkStart w:id="15" w:name="S0015"/>
      <w:pPr>
        <w:pStyle w:val="Heading2"/>
      </w:pPr>
      <w:r>
        <w:t>12 运动发育管理</w:t>
      </w:r>
      <w:bookmarkEnd w:id="15"/>
    </w:p>
    <w:p>
      <w:r>
        <w:rPr>
          <w:b w:val="0"/>
        </w:rPr>
        <w:t>重点：运动技能、肌张力功能与安全训练。必需资料为当前病例事实、专科意见和家庭执行条件。把目标、医师建议和实际执行分开；根据变化调整。</w:t>
      </w:r>
    </w:p>
    <w:p>
      <w:r>
        <w:rPr>
          <w:b w:val="0"/>
        </w:rPr>
        <w:t>【文书日期及时间】 运动发育管理记录</w:t>
      </w:r>
    </w:p>
    <w:p>
      <w:pPr>
        <w:pStyle w:val="CodeText"/>
      </w:pPr>
      <w:r>
        <w:t>```text</w:t>
      </w:r>
    </w:p>
    <w:p>
      <w:pPr>
        <w:pStyle w:val="CodeText"/>
      </w:pPr>
      <w:r>
        <w:t>患儿【年龄及疾病阶段】，当前【与运动技能、肌张力功能与安全训练有关的真实状态】，评估依据【实际测量、检查和信息来源】，拟定【个体目标及具体措施】，已完成【实际教育或训练】，后续【复诊时点项目、责任和本例警示】。</w:t>
      </w:r>
    </w:p>
    <w:p>
      <w:pPr>
        <w:pStyle w:val="CodeText"/>
      </w:pPr>
      <w:r>
        <w:t>```</w:t>
      </w:r>
    </w:p>
    <w:p>
      <w:bookmarkStart w:id="16" w:name="S0016"/>
      <w:pPr>
        <w:pStyle w:val="Heading2"/>
      </w:pPr>
      <w:r>
        <w:t>13 神经系统疾病康复</w:t>
      </w:r>
      <w:bookmarkEnd w:id="16"/>
    </w:p>
    <w:p>
      <w:r>
        <w:rPr>
          <w:b w:val="0"/>
        </w:rPr>
        <w:t>重点：发作、认知吞咽沟通运动与家庭目标。必需资料为当前病例事实、专科意见和家庭执行条件。把目标、医师建议和实际执行分开；根据变化调整。</w:t>
      </w:r>
    </w:p>
    <w:p>
      <w:r>
        <w:rPr>
          <w:b w:val="0"/>
        </w:rPr>
        <w:t>【文书日期及时间】 神经系统疾病康复记录</w:t>
      </w:r>
    </w:p>
    <w:p>
      <w:pPr>
        <w:pStyle w:val="CodeText"/>
      </w:pPr>
      <w:r>
        <w:t>```text</w:t>
      </w:r>
    </w:p>
    <w:p>
      <w:pPr>
        <w:pStyle w:val="CodeText"/>
      </w:pPr>
      <w:r>
        <w:t>患儿【年龄及疾病阶段】，当前【与发作、认知吞咽沟通运动与家庭目标有关的真实状态】，评估依据【实际测量、检查和信息来源】，拟定【个体目标及具体措施】，已完成【实际教育或训练】，后续【复诊时点项目、责任和本例警示】。</w:t>
      </w:r>
    </w:p>
    <w:p>
      <w:pPr>
        <w:pStyle w:val="CodeText"/>
      </w:pPr>
      <w:r>
        <w:t>```</w:t>
      </w:r>
    </w:p>
    <w:p>
      <w:bookmarkStart w:id="17" w:name="S0017"/>
      <w:pPr>
        <w:pStyle w:val="Heading2"/>
      </w:pPr>
      <w:r>
        <w:t>14 慢性呼吸系统疾病随访</w:t>
      </w:r>
      <w:bookmarkEnd w:id="17"/>
    </w:p>
    <w:p>
      <w:r>
        <w:rPr>
          <w:b w:val="0"/>
        </w:rPr>
        <w:t>重点：支持、气道清除、肺功能与运动耐受。必需资料为当前病例事实、专科意见和家庭执行条件。把目标、医师建议和实际执行分开；根据变化调整。</w:t>
      </w:r>
    </w:p>
    <w:p>
      <w:r>
        <w:rPr>
          <w:b w:val="0"/>
        </w:rPr>
        <w:t>【文书日期及时间】 慢性呼吸系统疾病随访记录</w:t>
      </w:r>
    </w:p>
    <w:p>
      <w:pPr>
        <w:pStyle w:val="CodeText"/>
      </w:pPr>
      <w:r>
        <w:t>```text</w:t>
      </w:r>
    </w:p>
    <w:p>
      <w:pPr>
        <w:pStyle w:val="CodeText"/>
      </w:pPr>
      <w:r>
        <w:t>患儿【年龄及疾病阶段】，当前【与支持、气道清除、肺功能与运动耐受有关的真实状态】，评估依据【实际测量、检查和信息来源】，拟定【个体目标及具体措施】，已完成【实际教育或训练】，后续【复诊时点项目、责任和本例警示】。</w:t>
      </w:r>
    </w:p>
    <w:p>
      <w:pPr>
        <w:pStyle w:val="CodeText"/>
      </w:pPr>
      <w:r>
        <w:t>```</w:t>
      </w:r>
    </w:p>
    <w:p>
      <w:bookmarkStart w:id="18" w:name="S0018"/>
      <w:pPr>
        <w:pStyle w:val="Heading2"/>
      </w:pPr>
      <w:r>
        <w:t>15 儿童哮喘长期管理</w:t>
      </w:r>
      <w:bookmarkEnd w:id="18"/>
    </w:p>
    <w:p>
      <w:r>
        <w:rPr>
          <w:b w:val="0"/>
        </w:rPr>
        <w:t>重点：吸入技术、控制风险、行动计划与身高。必需资料为当前病例事实、专科意见和家庭执行条件。把目标、医师建议和实际执行分开；根据变化调整。</w:t>
      </w:r>
    </w:p>
    <w:p>
      <w:r>
        <w:rPr>
          <w:b w:val="0"/>
        </w:rPr>
        <w:t>【文书日期及时间】 儿童哮喘长期管理记录</w:t>
      </w:r>
    </w:p>
    <w:p>
      <w:pPr>
        <w:pStyle w:val="CodeText"/>
      </w:pPr>
      <w:r>
        <w:t>```text</w:t>
      </w:r>
    </w:p>
    <w:p>
      <w:pPr>
        <w:pStyle w:val="CodeText"/>
      </w:pPr>
      <w:r>
        <w:t>患儿【年龄及疾病阶段】，当前【与吸入技术、控制风险、行动计划与身高有关的真实状态】，评估依据【实际测量、检查和信息来源】，拟定【个体目标及具体措施】，已完成【实际教育或训练】，后续【复诊时点项目、责任和本例警示】。</w:t>
      </w:r>
    </w:p>
    <w:p>
      <w:pPr>
        <w:pStyle w:val="CodeText"/>
      </w:pPr>
      <w:r>
        <w:t>```</w:t>
      </w:r>
    </w:p>
    <w:p>
      <w:bookmarkStart w:id="19" w:name="S0019"/>
      <w:pPr>
        <w:pStyle w:val="Heading2"/>
      </w:pPr>
      <w:r>
        <w:t>16 儿童肾病长期管理</w:t>
      </w:r>
      <w:bookmarkEnd w:id="19"/>
    </w:p>
    <w:p>
      <w:r>
        <w:rPr>
          <w:b w:val="0"/>
        </w:rPr>
        <w:t>重点：尿蛋白血压肾功能、感染复发及药物毒性。必需资料为当前病例事实、专科意见和家庭执行条件。把目标、医师建议和实际执行分开；根据变化调整。</w:t>
      </w:r>
    </w:p>
    <w:p>
      <w:r>
        <w:rPr>
          <w:b w:val="0"/>
        </w:rPr>
        <w:t>【文书日期及时间】 儿童肾病长期管理记录</w:t>
      </w:r>
    </w:p>
    <w:p>
      <w:pPr>
        <w:pStyle w:val="CodeText"/>
      </w:pPr>
      <w:r>
        <w:t>```text</w:t>
      </w:r>
    </w:p>
    <w:p>
      <w:pPr>
        <w:pStyle w:val="CodeText"/>
      </w:pPr>
      <w:r>
        <w:t>患儿【年龄及疾病阶段】，当前【与尿蛋白血压肾功能、感染复发及药物毒性有关的真实状态】，评估依据【实际测量、检查和信息来源】，拟定【个体目标及具体措施】，已完成【实际教育或训练】，后续【复诊时点项目、责任和本例警示】。</w:t>
      </w:r>
    </w:p>
    <w:p>
      <w:pPr>
        <w:pStyle w:val="CodeText"/>
      </w:pPr>
      <w:r>
        <w:t>```</w:t>
      </w:r>
    </w:p>
    <w:p>
      <w:bookmarkStart w:id="20" w:name="S0020"/>
      <w:pPr>
        <w:pStyle w:val="Heading2"/>
      </w:pPr>
      <w:r>
        <w:t>17 儿童心血管疾病随访</w:t>
      </w:r>
      <w:bookmarkEnd w:id="20"/>
    </w:p>
    <w:p>
      <w:r>
        <w:rPr>
          <w:b w:val="0"/>
        </w:rPr>
        <w:t>重点：结构功能、节律、活动和生长。必需资料为当前病例事实、专科意见和家庭执行条件。把目标、医师建议和实际执行分开；根据变化调整。</w:t>
      </w:r>
    </w:p>
    <w:p>
      <w:r>
        <w:rPr>
          <w:b w:val="0"/>
        </w:rPr>
        <w:t>【文书日期及时间】 儿童心血管疾病随访记录</w:t>
      </w:r>
    </w:p>
    <w:p>
      <w:pPr>
        <w:pStyle w:val="CodeText"/>
      </w:pPr>
      <w:r>
        <w:t>```text</w:t>
      </w:r>
    </w:p>
    <w:p>
      <w:pPr>
        <w:pStyle w:val="CodeText"/>
      </w:pPr>
      <w:r>
        <w:t>患儿【年龄及疾病阶段】，当前【与结构功能、节律、活动和生长有关的真实状态】，评估依据【实际测量、检查和信息来源】，拟定【个体目标及具体措施】，已完成【实际教育或训练】，后续【复诊时点项目、责任和本例警示】。</w:t>
      </w:r>
    </w:p>
    <w:p>
      <w:pPr>
        <w:pStyle w:val="CodeText"/>
      </w:pPr>
      <w:r>
        <w:t>```</w:t>
      </w:r>
    </w:p>
    <w:p>
      <w:bookmarkStart w:id="21" w:name="S0021"/>
      <w:pPr>
        <w:pStyle w:val="Heading2"/>
      </w:pPr>
      <w:r>
        <w:t>18 糖尿病与内分泌疾病管理</w:t>
      </w:r>
      <w:bookmarkEnd w:id="21"/>
    </w:p>
    <w:p>
      <w:r>
        <w:rPr>
          <w:b w:val="0"/>
        </w:rPr>
        <w:t>重点：血糖激素、家庭学校应急及青春期。必需资料为当前病例事实、专科意见和家庭执行条件。把目标、医师建议和实际执行分开；根据变化调整。</w:t>
      </w:r>
    </w:p>
    <w:p>
      <w:r>
        <w:rPr>
          <w:b w:val="0"/>
        </w:rPr>
        <w:t>【文书日期及时间】 糖尿病与内分泌疾病管理记录</w:t>
      </w:r>
    </w:p>
    <w:p>
      <w:pPr>
        <w:pStyle w:val="CodeText"/>
      </w:pPr>
      <w:r>
        <w:t>```text</w:t>
      </w:r>
    </w:p>
    <w:p>
      <w:pPr>
        <w:pStyle w:val="CodeText"/>
      </w:pPr>
      <w:r>
        <w:t>患儿【年龄及疾病阶段】，当前【与血糖激素、家庭学校应急及青春期有关的真实状态】，评估依据【实际测量、检查和信息来源】，拟定【个体目标及具体措施】，已完成【实际教育或训练】，后续【复诊时点项目、责任和本例警示】。</w:t>
      </w:r>
    </w:p>
    <w:p>
      <w:pPr>
        <w:pStyle w:val="CodeText"/>
      </w:pPr>
      <w:r>
        <w:t>```</w:t>
      </w:r>
    </w:p>
    <w:p>
      <w:bookmarkStart w:id="22" w:name="S0022"/>
      <w:pPr>
        <w:pStyle w:val="Heading2"/>
      </w:pPr>
      <w:r>
        <w:t>19 血液及肿瘤相关治疗后随访</w:t>
      </w:r>
      <w:bookmarkEnd w:id="22"/>
    </w:p>
    <w:p>
      <w:r>
        <w:rPr>
          <w:b w:val="0"/>
        </w:rPr>
        <w:t>重点：治疗暴露、复发及心肾内分泌听力风险。必需资料为当前病例事实、专科意见和家庭执行条件。把目标、医师建议和实际执行分开；根据变化调整。</w:t>
      </w:r>
    </w:p>
    <w:p>
      <w:r>
        <w:rPr>
          <w:b w:val="0"/>
        </w:rPr>
        <w:t>【文书日期及时间】 血液及肿瘤相关治疗后随访记录</w:t>
      </w:r>
    </w:p>
    <w:p>
      <w:pPr>
        <w:pStyle w:val="CodeText"/>
      </w:pPr>
      <w:r>
        <w:t>```text</w:t>
      </w:r>
    </w:p>
    <w:p>
      <w:pPr>
        <w:pStyle w:val="CodeText"/>
      </w:pPr>
      <w:r>
        <w:t>患儿【年龄及疾病阶段】，当前【与治疗暴露、复发及心肾内分泌听力风险有关的真实状态】，评估依据【实际测量、检查和信息来源】，拟定【个体目标及具体措施】，已完成【实际教育或训练】，后续【复诊时点项目、责任和本例警示】。</w:t>
      </w:r>
    </w:p>
    <w:p>
      <w:pPr>
        <w:pStyle w:val="CodeText"/>
      </w:pPr>
      <w:r>
        <w:t>```</w:t>
      </w:r>
    </w:p>
    <w:p>
      <w:bookmarkStart w:id="23" w:name="S0023"/>
      <w:pPr>
        <w:pStyle w:val="Heading2"/>
      </w:pPr>
      <w:r>
        <w:t>20 免疫缺陷与特殊感染风险管理</w:t>
      </w:r>
      <w:bookmarkEnd w:id="23"/>
    </w:p>
    <w:p>
      <w:r>
        <w:rPr>
          <w:b w:val="0"/>
        </w:rPr>
        <w:t>重点：感染暴露、替代治疗、接种及预防方案。必需资料为当前病例事实、专科意见和家庭执行条件。把目标、医师建议和实际执行分开；根据变化调整。</w:t>
      </w:r>
    </w:p>
    <w:p>
      <w:r>
        <w:rPr>
          <w:b w:val="0"/>
        </w:rPr>
        <w:t>【文书日期及时间】 免疫缺陷与特殊感染风险管理记录</w:t>
      </w:r>
    </w:p>
    <w:p>
      <w:pPr>
        <w:pStyle w:val="CodeText"/>
      </w:pPr>
      <w:r>
        <w:t>```text</w:t>
      </w:r>
    </w:p>
    <w:p>
      <w:pPr>
        <w:pStyle w:val="CodeText"/>
      </w:pPr>
      <w:r>
        <w:t>患儿【年龄及疾病阶段】，当前【与感染暴露、替代治疗、接种及预防方案有关的真实状态】，评估依据【实际测量、检查和信息来源】，拟定【个体目标及具体措施】，已完成【实际教育或训练】，后续【复诊时点项目、责任和本例警示】。</w:t>
      </w:r>
    </w:p>
    <w:p>
      <w:pPr>
        <w:pStyle w:val="CodeText"/>
      </w:pPr>
      <w:r>
        <w:t>```</w:t>
      </w:r>
    </w:p>
    <w:p>
      <w:bookmarkStart w:id="24" w:name="S0024"/>
      <w:pPr>
        <w:pStyle w:val="Heading2"/>
      </w:pPr>
      <w:r>
        <w:t>21 预防接种史核对</w:t>
      </w:r>
      <w:bookmarkEnd w:id="24"/>
    </w:p>
    <w:p>
      <w:r>
        <w:rPr>
          <w:b w:val="0"/>
        </w:rPr>
        <w:t>重点：证件及剂次日期，未知不写全程。必需资料为当前病例事实、专科意见和家庭执行条件。把目标、医师建议和实际执行分开；根据变化调整。</w:t>
      </w:r>
    </w:p>
    <w:p>
      <w:r>
        <w:rPr>
          <w:b w:val="0"/>
        </w:rPr>
        <w:t>【文书日期及时间】 预防接种史核对记录</w:t>
      </w:r>
    </w:p>
    <w:p>
      <w:pPr>
        <w:pStyle w:val="CodeText"/>
      </w:pPr>
      <w:r>
        <w:t>```text</w:t>
      </w:r>
    </w:p>
    <w:p>
      <w:pPr>
        <w:pStyle w:val="CodeText"/>
      </w:pPr>
      <w:r>
        <w:t>患儿【年龄及疾病阶段】，当前【与证件及剂次日期，未知不写全程有关的真实状态】，评估依据【实际测量、检查和信息来源】，拟定【个体目标及具体措施】，已完成【实际教育或训练】，后续【复诊时点项目、责任和本例警示】。</w:t>
      </w:r>
    </w:p>
    <w:p>
      <w:pPr>
        <w:pStyle w:val="CodeText"/>
      </w:pPr>
      <w:r>
        <w:t>```</w:t>
      </w:r>
    </w:p>
    <w:p>
      <w:bookmarkStart w:id="25" w:name="S0025"/>
      <w:pPr>
        <w:pStyle w:val="Heading2"/>
      </w:pPr>
      <w:r>
        <w:t>22 免疫接种与疾病及治疗的关系</w:t>
      </w:r>
      <w:bookmarkEnd w:id="25"/>
    </w:p>
    <w:p>
      <w:r>
        <w:rPr>
          <w:b w:val="0"/>
        </w:rPr>
        <w:t>重点：激素化疗生物制剂及血制品等影响，由接种与专科核现行要求。必需资料为当前病例事实、专科意见和家庭执行条件。把目标、医师建议和实际执行分开；根据变化调整。</w:t>
      </w:r>
    </w:p>
    <w:p>
      <w:r>
        <w:rPr>
          <w:b w:val="0"/>
        </w:rPr>
        <w:t>【文书日期及时间】 免疫接种与疾病及治疗的关系记录</w:t>
      </w:r>
    </w:p>
    <w:p>
      <w:pPr>
        <w:pStyle w:val="CodeText"/>
      </w:pPr>
      <w:r>
        <w:t>```text</w:t>
      </w:r>
    </w:p>
    <w:p>
      <w:pPr>
        <w:pStyle w:val="CodeText"/>
      </w:pPr>
      <w:r>
        <w:t>患儿【年龄及疾病阶段】，当前【与激素化疗生物制剂及血制品等影响，由接种与专科核现行要求有关的真实状态】，评估依据【实际测量、检查和信息来源】，拟定【个体目标及具体措施】，已完成【实际教育或训练】，后续【复诊时点项目、责任和本例警示】。</w:t>
      </w:r>
    </w:p>
    <w:p>
      <w:pPr>
        <w:pStyle w:val="CodeText"/>
      </w:pPr>
      <w:r>
        <w:t>```</w:t>
      </w:r>
    </w:p>
    <w:p>
      <w:bookmarkStart w:id="26" w:name="S0026"/>
      <w:pPr>
        <w:pStyle w:val="Heading2"/>
      </w:pPr>
      <w:r>
        <w:t>23 出院用药核对</w:t>
      </w:r>
      <w:bookmarkEnd w:id="26"/>
    </w:p>
    <w:p>
      <w:r>
        <w:rPr>
          <w:b w:val="0"/>
        </w:rPr>
        <w:t>重点：名称浓度剂量体积工具频次疗程和停药条件。必需资料为当前病例事实、专科意见和家庭执行条件。把目标、医师建议和实际执行分开；根据变化调整。</w:t>
      </w:r>
    </w:p>
    <w:p>
      <w:r>
        <w:rPr>
          <w:b w:val="0"/>
        </w:rPr>
        <w:t>【文书日期及时间】 出院用药核对记录</w:t>
      </w:r>
    </w:p>
    <w:p>
      <w:pPr>
        <w:pStyle w:val="CodeText"/>
      </w:pPr>
      <w:r>
        <w:t>```text</w:t>
      </w:r>
    </w:p>
    <w:p>
      <w:pPr>
        <w:pStyle w:val="CodeText"/>
      </w:pPr>
      <w:r>
        <w:t>患儿【年龄及疾病阶段】，当前【与名称浓度剂量体积工具频次疗程和停药条件有关的真实状态】，评估依据【实际测量、检查和信息来源】，拟定【个体目标及具体措施】，已完成【实际教育或训练】，后续【复诊时点项目、责任和本例警示】。</w:t>
      </w:r>
    </w:p>
    <w:p>
      <w:pPr>
        <w:pStyle w:val="CodeText"/>
      </w:pPr>
      <w:r>
        <w:t>```</w:t>
      </w:r>
    </w:p>
    <w:p>
      <w:bookmarkStart w:id="27" w:name="S0027"/>
      <w:pPr>
        <w:pStyle w:val="Heading2"/>
      </w:pPr>
      <w:r>
        <w:t>24 出院喂养及营养计划</w:t>
      </w:r>
      <w:bookmarkEnd w:id="27"/>
    </w:p>
    <w:p>
      <w:r>
        <w:rPr>
          <w:b w:val="0"/>
        </w:rPr>
        <w:t>重点：家庭能获得的实际奶种配方与途径，目标不等已摄入。必需资料为当前病例事实、专科意见和家庭执行条件。把目标、医师建议和实际执行分开；根据变化调整。</w:t>
      </w:r>
    </w:p>
    <w:p>
      <w:r>
        <w:rPr>
          <w:b w:val="0"/>
        </w:rPr>
        <w:t>【文书日期及时间】 出院喂养及营养计划记录</w:t>
      </w:r>
    </w:p>
    <w:p>
      <w:pPr>
        <w:pStyle w:val="CodeText"/>
      </w:pPr>
      <w:r>
        <w:t>```text</w:t>
      </w:r>
    </w:p>
    <w:p>
      <w:pPr>
        <w:pStyle w:val="CodeText"/>
      </w:pPr>
      <w:r>
        <w:t>患儿【年龄及疾病阶段】，当前【与家庭能获得的实际奶种配方与途径，目标不等已摄入有关的真实状态】，评估依据【实际测量、检查和信息来源】，拟定【个体目标及具体措施】，已完成【实际教育或训练】，后续【复诊时点项目、责任和本例警示】。</w:t>
      </w:r>
    </w:p>
    <w:p>
      <w:pPr>
        <w:pStyle w:val="CodeText"/>
      </w:pPr>
      <w:r>
        <w:t>```</w:t>
      </w:r>
    </w:p>
    <w:p>
      <w:bookmarkStart w:id="28" w:name="S0028"/>
      <w:pPr>
        <w:pStyle w:val="Heading2"/>
      </w:pPr>
      <w:r>
        <w:t>25 出院复诊</w:t>
      </w:r>
      <w:bookmarkEnd w:id="28"/>
    </w:p>
    <w:p>
      <w:r>
        <w:rPr>
          <w:b w:val="0"/>
        </w:rPr>
        <w:t>重点：科室日期或相对时点、项目、待回结果责任。必需资料为当前病例事实、专科意见和家庭执行条件。把目标、医师建议和实际执行分开；根据变化调整。</w:t>
      </w:r>
    </w:p>
    <w:p>
      <w:r>
        <w:rPr>
          <w:b w:val="0"/>
        </w:rPr>
        <w:t>【文书日期及时间】 出院复诊记录</w:t>
      </w:r>
    </w:p>
    <w:p>
      <w:pPr>
        <w:pStyle w:val="CodeText"/>
      </w:pPr>
      <w:r>
        <w:t>```text</w:t>
      </w:r>
    </w:p>
    <w:p>
      <w:pPr>
        <w:pStyle w:val="CodeText"/>
      </w:pPr>
      <w:r>
        <w:t>患儿【年龄及疾病阶段】，当前【与科室日期或相对时点、项目、待回结果责任有关的真实状态】，评估依据【实际测量、检查和信息来源】，拟定【个体目标及具体措施】，已完成【实际教育或训练】，后续【复诊时点项目、责任和本例警示】。</w:t>
      </w:r>
    </w:p>
    <w:p>
      <w:pPr>
        <w:pStyle w:val="CodeText"/>
      </w:pPr>
      <w:r>
        <w:t>```</w:t>
      </w:r>
    </w:p>
    <w:p>
      <w:bookmarkStart w:id="29" w:name="S0029"/>
      <w:pPr>
        <w:pStyle w:val="Heading2"/>
      </w:pPr>
      <w:r>
        <w:t>26 病情恶化警示症状</w:t>
      </w:r>
      <w:bookmarkEnd w:id="29"/>
    </w:p>
    <w:p>
      <w:r>
        <w:rPr>
          <w:b w:val="0"/>
        </w:rPr>
        <w:t>重点：本病特异风险及立即求助条件，不能所有患儿同一套。必需资料为当前病例事实、专科意见和家庭执行条件。把目标、医师建议和实际执行分开；根据变化调整。</w:t>
      </w:r>
    </w:p>
    <w:p>
      <w:r>
        <w:rPr>
          <w:b w:val="0"/>
        </w:rPr>
        <w:t>【文书日期及时间】 病情恶化警示症状记录</w:t>
      </w:r>
    </w:p>
    <w:p>
      <w:pPr>
        <w:pStyle w:val="CodeText"/>
      </w:pPr>
      <w:r>
        <w:t>```text</w:t>
      </w:r>
    </w:p>
    <w:p>
      <w:pPr>
        <w:pStyle w:val="CodeText"/>
      </w:pPr>
      <w:r>
        <w:t>患儿【年龄及疾病阶段】，当前【与本病特异风险及立即求助条件，不能所有患儿同一套有关的真实状态】，评估依据【实际测量、检查和信息来源】，拟定【个体目标及具体措施】，已完成【实际教育或训练】，后续【复诊时点项目、责任和本例警示】。</w:t>
      </w:r>
    </w:p>
    <w:p>
      <w:pPr>
        <w:pStyle w:val="CodeText"/>
      </w:pPr>
      <w:r>
        <w:t>```</w:t>
      </w:r>
    </w:p>
    <w:p>
      <w:bookmarkStart w:id="30" w:name="S0030"/>
      <w:pPr>
        <w:pStyle w:val="Heading2"/>
      </w:pPr>
      <w:r>
        <w:t>27 家长及监护人健康教育</w:t>
      </w:r>
      <w:bookmarkEnd w:id="30"/>
    </w:p>
    <w:p>
      <w:r>
        <w:rPr>
          <w:b w:val="0"/>
        </w:rPr>
        <w:t>重点：对象、时间、实际讲解及回授，不虚构掌握。必需资料为当前病例事实、专科意见和家庭执行条件。把目标、医师建议和实际执行分开；根据变化调整。</w:t>
      </w:r>
    </w:p>
    <w:p>
      <w:r>
        <w:rPr>
          <w:b w:val="0"/>
        </w:rPr>
        <w:t>【文书日期及时间】 家长及监护人健康教育记录</w:t>
      </w:r>
    </w:p>
    <w:p>
      <w:pPr>
        <w:pStyle w:val="CodeText"/>
      </w:pPr>
      <w:r>
        <w:t>```text</w:t>
      </w:r>
    </w:p>
    <w:p>
      <w:pPr>
        <w:pStyle w:val="CodeText"/>
      </w:pPr>
      <w:r>
        <w:t>患儿【年龄及疾病阶段】，当前【与对象、时间、实际讲解及回授，不虚构掌握有关的真实状态】，评估依据【实际测量、检查和信息来源】，拟定【个体目标及具体措施】，已完成【实际教育或训练】，后续【复诊时点项目、责任和本例警示】。</w:t>
      </w:r>
    </w:p>
    <w:p>
      <w:pPr>
        <w:pStyle w:val="CodeText"/>
      </w:pPr>
      <w:r>
        <w:t>```</w:t>
      </w:r>
    </w:p>
    <w:p>
      <w:bookmarkStart w:id="31" w:name="S0031"/>
      <w:pPr>
        <w:pStyle w:val="Heading2"/>
      </w:pPr>
      <w:r>
        <w:t>28 青春期特殊随访需求</w:t>
      </w:r>
      <w:bookmarkEnd w:id="31"/>
    </w:p>
    <w:p>
      <w:r>
        <w:rPr>
          <w:b w:val="0"/>
        </w:rPr>
        <w:t>重点：隐私、自我管理、心理学校、生育及成人转衔。必需资料为当前病例事实、专科意见和家庭执行条件。把目标、医师建议和实际执行分开；根据变化调整。</w:t>
      </w:r>
    </w:p>
    <w:p>
      <w:r>
        <w:rPr>
          <w:b w:val="0"/>
        </w:rPr>
        <w:t>【文书日期及时间】 青春期特殊随访需求记录</w:t>
      </w:r>
    </w:p>
    <w:p>
      <w:pPr>
        <w:pStyle w:val="CodeText"/>
      </w:pPr>
      <w:r>
        <w:t>```text</w:t>
      </w:r>
    </w:p>
    <w:p>
      <w:pPr>
        <w:pStyle w:val="CodeText"/>
      </w:pPr>
      <w:r>
        <w:t>患儿【年龄及疾病阶段】，当前【与隐私、自我管理、心理学校、生育及成人转衔有关的真实状态】，评估依据【实际测量、检查和信息来源】，拟定【个体目标及具体措施】，已完成【实际教育或训练】，后续【复诊时点项目、责任和本例警示】。</w:t>
      </w:r>
    </w:p>
    <w:p>
      <w:pPr>
        <w:pStyle w:val="CodeText"/>
      </w:pPr>
      <w:r>
        <w:t>```</w:t>
      </w:r>
    </w:p>
    <w:p>
      <w:bookmarkStart w:id="32" w:name="S0032"/>
      <w:pPr>
        <w:pStyle w:val="Heading1"/>
      </w:pPr>
      <w:r>
        <w:t>免疫程序版本更新</w:t>
      </w:r>
      <w:bookmarkEnd w:id="32"/>
    </w:p>
    <w:p>
      <w:r>
        <w:rPr>
          <w:b w:val="0"/>
        </w:rPr>
        <w:t>R33为2021基础程序，不能当全部现行程序。R34自2025年起调整百白破/白破程序，新旧衔接须按接种单位技术方案；R35自2025年11月起将符合出生日期条件的满13岁女孩HPV接种纳入国家免疫规划。疾病、免疫抑制和血制品相关接种延迟或禁忌由当日有效规范与接种专科核定。此处是版本提醒，不能认定患儿已接种或虚构免疫豁免。</w:t>
      </w:r>
    </w:p>
    <w:p>
      <w:bookmarkStart w:id="33" w:name="S0033"/>
      <w:pPr>
        <w:pStyle w:val="Heading1"/>
      </w:pPr>
      <w:r>
        <w:t>出院医嘱成稿门槛</w:t>
      </w:r>
      <w:bookmarkEnd w:id="33"/>
    </w:p>
    <w:p>
      <w:r>
        <w:rPr>
          <w:b w:val="0"/>
        </w:rPr>
        <w:t>处方明确后才写精确家庭给药。mL需制剂浓度与量具，必要回授确认；未定疗程在框外核实，不能猜写“服用一周”。奶种冲调浓度按核定计划，不能写所有患儿加强营养即可。无家庭氧疗或管饲实施计划不得默认设备出院。通用警示按本例筛选：发绀呼吸困难、意识反应异常、持续发作、尿少明显、持续呕吐血便或感染风险等。</w:t>
      </w:r>
    </w:p>
    <w:p>
      <w:bookmarkStart w:id="34" w:name="S0034"/>
      <w:pPr>
        <w:pStyle w:val="Heading1"/>
      </w:pPr>
      <w:r>
        <w:t>完整虚构病例与输出示例</w:t>
      </w:r>
      <w:bookmarkEnd w:id="34"/>
    </w:p>
    <w:p>
      <w:r>
        <w:rPr>
          <w:b w:val="0"/>
        </w:rPr>
        <w:t>本节所有标识、病史、检查、医师意见和事件均为人工构造，禁止作为真实患者输入的默认值。该病例完整呈现已知和未知资料，不用虚构正常来填满系统项目。</w:t>
      </w:r>
    </w:p>
    <w:p>
      <w:r>
        <w:rPr>
          <w:b w:val="0"/>
        </w:rPr>
        <w:t>病例标识：SIM-P54；本次住院：SIM-E54。目标文书时点：2026-10-30T11:00:00+08:00。出生：2022-10-30T11:00:00+08:00；胎龄：未提供，当前较大儿童任务不据此推断。实际体重：16.0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病史及当前临床资料：本次肺炎患儿症状改善，实际医师同意出院；家庭用药按核定处方，复诊及待回培养有接收责任人。</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调用：00→01→11→02→03→04→07→09→102→10。模拟结果仅演示事实和格式；实际患者需重新运行10。</w:t>
      </w:r>
    </w:p>
    <w:p>
      <w:r>
        <w:rPr>
          <w:b w:val="0"/>
        </w:rPr>
        <w:t>2026年10月30日 11:00 出院记录</w:t>
      </w:r>
    </w:p>
    <w:p>
      <w:pPr>
        <w:pStyle w:val="CodeText"/>
      </w:pPr>
      <w:r>
        <w:t>```text</w:t>
      </w:r>
    </w:p>
    <w:p>
      <w:pPr>
        <w:pStyle w:val="CodeText"/>
      </w:pPr>
      <w:r>
        <w:t>本次肺炎患儿症状改善，实际医师同意出院；家庭用药按核定处方，复诊及待回培养有接收责任人。</w:t>
      </w:r>
    </w:p>
    <w:p>
      <w:pPr>
        <w:pStyle w:val="CodeText"/>
      </w:pPr>
      <w:r>
        <w:t>```</w:t>
      </w:r>
    </w:p>
    <w:p>
      <w:bookmarkStart w:id="35" w:name="S0035"/>
      <w:pPr>
        <w:pStyle w:val="Heading1"/>
      </w:pPr>
      <w:r>
        <w:t>医学真实性边界 常见错误与模块协同</w:t>
      </w:r>
      <w:bookmarkEnd w:id="35"/>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6" w:name="S0036"/>
      <w:pPr>
        <w:pStyle w:val="Heading1"/>
      </w:pPr>
      <w:r>
        <w:t>模块质量控制清单</w:t>
      </w:r>
      <w:bookmarkEnd w:id="36"/>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7" w:name="S0037"/>
      <w:pPr>
        <w:pStyle w:val="Heading1"/>
      </w:pPr>
      <w:r>
        <w:t>指南规范及证据来源</w:t>
      </w:r>
      <w:bookmarkEnd w:id="37"/>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8" w:name="S0038"/>
      <w:pPr>
        <w:pStyle w:val="Heading2"/>
      </w:pPr>
      <w:r>
        <w:t>R05 7岁以下儿童生长标准</w:t>
      </w:r>
      <w:bookmarkEnd w:id="38"/>
    </w:p>
    <w:p>
      <w:r>
        <w:rPr>
          <w:b w:val="0"/>
        </w:rPr>
        <w:t>发布机构：国家卫生健康委。正式年份及实际版本：WS/T 423—2022 2023-03-01实施。资料性质：卫生行业标准。适用年龄和人群：7岁以下儿童 按性别年龄。本次核验范围：官方标准及适用范围。可用关键证据及限制：评价须匹配测量方法、性别、年龄与原始表；不从标准名称生成百分位。 核验日期：2026年10月30日。</w:t>
      </w:r>
      <w:hyperlink r:id="rId11">
        <w:r>
          <w:rPr>
            <w:color w:val="000000"/>
          </w:rPr>
          <w:t>原始来源或发布页</w:t>
        </w:r>
      </w:hyperlink>
    </w:p>
    <w:p>
      <w:bookmarkStart w:id="39" w:name="S0039"/>
      <w:pPr>
        <w:pStyle w:val="Heading2"/>
      </w:pPr>
      <w:r>
        <w:t>R17 新生儿访视等儿童保健技术规范</w:t>
      </w:r>
      <w:bookmarkEnd w:id="39"/>
    </w:p>
    <w:p>
      <w:r>
        <w:rPr>
          <w:b w:val="0"/>
        </w:rPr>
        <w:t>发布机构：卫生部办公厅。正式年份及实际版本：2012 卫办妇社发〔2012〕49号。资料性质：技术规范。适用年龄和人群：儿童访视 喂养 营养性疾病。本次核验范围：官方发布及附件范围。可用关键证据及限制：保健、营养评估和转诊分工；病房治疗不能机械套保健流程。 核验日期：2026年10月30日。</w:t>
      </w:r>
      <w:hyperlink r:id="rId12">
        <w:r>
          <w:rPr>
            <w:color w:val="000000"/>
          </w:rPr>
          <w:t>原始来源或发布页</w:t>
        </w:r>
      </w:hyperlink>
    </w:p>
    <w:p>
      <w:bookmarkStart w:id="40" w:name="S0040"/>
      <w:pPr>
        <w:pStyle w:val="Heading2"/>
      </w:pPr>
      <w:r>
        <w:t>R33 国家免疫规划疫苗儿童免疫程序及说明（2021年版）</w:t>
      </w:r>
      <w:bookmarkEnd w:id="40"/>
    </w:p>
    <w:p>
      <w:r>
        <w:rPr>
          <w:b w:val="0"/>
        </w:rPr>
        <w:t>发布机构：国家卫生健康委。正式年份及实际版本：2021。资料性质：免疫程序 基线版本。适用年龄和人群：适龄儿童。本次核验范围：官方PDF。可用关键证据及限制：作为基础程序，使用时必须叠加后续正式调整；本版不得被标为全部最新程序。 核验日期：2026年10月30日。</w:t>
      </w:r>
      <w:hyperlink r:id="rId13">
        <w:r>
          <w:rPr>
            <w:color w:val="000000"/>
          </w:rPr>
          <w:t>原始来源或发布页</w:t>
        </w:r>
      </w:hyperlink>
    </w:p>
    <w:p>
      <w:bookmarkStart w:id="41" w:name="S0041"/>
      <w:pPr>
        <w:pStyle w:val="Heading2"/>
      </w:pPr>
      <w:r>
        <w:t>R34 关于国家免疫规划百白破疫苗和白破疫苗免疫程序调整相关工作的通知</w:t>
      </w:r>
      <w:bookmarkEnd w:id="41"/>
    </w:p>
    <w:p>
      <w:r>
        <w:rPr>
          <w:b w:val="0"/>
        </w:rPr>
        <w:t>发布机构：国家疾控局等六部门。正式年份及实际版本：2024-12-25 2025-01-01实施 国疾控卫免发〔2024〕20号。资料性质：正式调整通知。适用年龄和人群：适龄儿童 含衔接方案。本次核验范围：政府官网原始通知。可用关键证据及限制：新程序2、4、6、18月龄及6周岁各1剂百白破，历史接种按技术衔接方案核对。 核验日期：2026年10月30日。</w:t>
      </w:r>
      <w:hyperlink r:id="rId14">
        <w:r>
          <w:rPr>
            <w:color w:val="000000"/>
          </w:rPr>
          <w:t>原始来源或发布页</w:t>
        </w:r>
      </w:hyperlink>
    </w:p>
    <w:p>
      <w:bookmarkStart w:id="42" w:name="S0042"/>
      <w:pPr>
        <w:pStyle w:val="Heading2"/>
      </w:pPr>
      <w:r>
        <w:t>R35 关于将人乳头瘤病毒疫苗纳入国家免疫规划有关工作事宜的通知</w:t>
      </w:r>
      <w:bookmarkEnd w:id="42"/>
    </w:p>
    <w:p>
      <w:r>
        <w:rPr>
          <w:b w:val="0"/>
        </w:rPr>
        <w:t>发布机构：国家疾控局等。正式年份及实际版本：2025-10-30 2025-11-10实施 国疾控卫免发〔2025〕16号。资料性质：正式通知。适用年龄和人群：符合出生日期条件的满13岁女孩。本次核验范围：国家疾控局原文。可用关键证据及限制：符合政策人群接种程序需核接种单位；不将住院拟接种写为已接种。 核验日期：2026年10月30日。</w:t>
      </w:r>
      <w:hyperlink r:id="rId15">
        <w:r>
          <w:rPr>
            <w:color w:val="000000"/>
          </w:rPr>
          <w:t>原始来源或发布页</w:t>
        </w:r>
      </w:hyperlink>
    </w:p>
    <w:p>
      <w:bookmarkStart w:id="43" w:name="S0043"/>
      <w:pPr>
        <w:pStyle w:val="Heading2"/>
      </w:pPr>
      <w:r>
        <w:t>R45 早产儿视网膜病预防管理专家共识（2024）</w:t>
      </w:r>
      <w:bookmarkEnd w:id="43"/>
    </w:p>
    <w:p>
      <w:r>
        <w:rPr>
          <w:b w:val="0"/>
        </w:rPr>
        <w:t>发布机构：共识专家组 具体署名以期刊原文为准。正式年份及实际版本：2024。资料性质：专家共识。适用年龄和人群：早产儿ROP预防及管理。本次核验范围：学会官网共识正文入口 未逐项录入筛查门槛。可用关键证据及限制：筛查、诊断分期与转诊治疗各自留痕，复诊任务必须跨院交接。 核验日期：2026年10月30日。</w:t>
      </w:r>
      <w:hyperlink r:id="rId16">
        <w:r>
          <w:rPr>
            <w:color w:val="000000"/>
          </w:rPr>
          <w:t>原始来源或发布页</w:t>
        </w:r>
      </w:hyperlink>
    </w:p>
    <w:p>
      <w:bookmarkStart w:id="44" w:name="S0044"/>
      <w:pPr>
        <w:pStyle w:val="Heading2"/>
      </w:pPr>
      <w:r>
        <w:t>R47 早产儿出院后随访与健康管理专家共识（2025）</w:t>
      </w:r>
      <w:bookmarkEnd w:id="44"/>
    </w:p>
    <w:p>
      <w:r>
        <w:rPr>
          <w:b w:val="0"/>
        </w:rPr>
        <w:t>发布机构：中国医师协会新生儿科医师分会早产儿专业委员会 中华儿科杂志编辑委员会。正式年份及实际版本：2025 DOI10.3760/cma.j.cn112140-20250117-00050。资料性质：专家共识。适用年龄和人群：出院后早产儿。本次核验范围：原始PubMed题录摘要 未逐条核验全文。可用关键证据及限制：按神经发育、喂养、慢病与接种分别建立随访任务，具体时间表待全文与本院确认。 核验日期：2026年10月30日。</w:t>
      </w:r>
      <w:hyperlink r:id="rId17">
        <w:r>
          <w:rPr>
            <w:color w:val="000000"/>
          </w:rPr>
          <w:t>原始来源或发布页</w:t>
        </w:r>
      </w:hyperlink>
    </w:p>
    <w:p>
      <w:bookmarkStart w:id="45" w:name="S0045"/>
      <w:pPr>
        <w:pStyle w:val="Heading2"/>
      </w:pPr>
      <w:r>
        <w:t>尚待补齐的来源</w:t>
      </w:r>
      <w:bookmarkEnd w:id="45"/>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6" w:name="S0046"/>
      <w:pPr>
        <w:pStyle w:val="Heading1"/>
      </w:pPr>
      <w:r>
        <w:t>版本更新与维护说明</w:t>
      </w:r>
      <w:bookmarkEnd w:id="46"/>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311/202211/923e7646561d4b88b72da9097d4da4d5.shtml" TargetMode="External"/><Relationship Id="rId12" Type="http://schemas.openxmlformats.org/officeDocument/2006/relationships/hyperlink" Target="https://www.nhc.gov.cn/zwgkzt/wsbysj/201205/54596.shtml" TargetMode="External"/><Relationship Id="rId13" Type="http://schemas.openxmlformats.org/officeDocument/2006/relationships/hyperlink" Target="https://www.nhc.gov.cn/cms-search/downFiles/7559f978e6be4ec585a9a1fe0d9224f6.pdf" TargetMode="External"/><Relationship Id="rId14" Type="http://schemas.openxmlformats.org/officeDocument/2006/relationships/hyperlink" Target="https://app.www.gov.cn/govdata/gov/202412/27/523071/article.html" TargetMode="External"/><Relationship Id="rId15" Type="http://schemas.openxmlformats.org/officeDocument/2006/relationships/hyperlink" Target="https://www.ndcpa.gov.cn/jbkzzx/c100014/common/content/content_1983714327087452160.html" TargetMode="External"/><Relationship Id="rId16" Type="http://schemas.openxmlformats.org/officeDocument/2006/relationships/hyperlink" Target="https://cspm.cma.org.cn/index/news?id=3629" TargetMode="External"/><Relationship Id="rId17" Type="http://schemas.openxmlformats.org/officeDocument/2006/relationships/hyperlink" Target="https://pubmed.ncbi.nlm.nih.gov/40518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儿科喂养生长发育康复出院及长期随访模板库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