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11 儿科AI自动调用路由与患儿病例状态管理规则库</w:t>
      </w:r>
    </w:p>
    <w:p>
      <w:r>
        <w:t>版本 V1.0　编制与核验日期 2026年10月30日</w:t>
      </w:r>
    </w:p>
    <w:p>
      <w:r>
        <w:t>所属层级 第2级　模块编号 11</w:t>
      </w:r>
    </w:p>
    <w:p>
      <w:r>
        <w:t>患者、住院、出生、资料、治疗、设备与病例版本的事件化状态和自然语言路由。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病例实体与隔离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来源封装和状态字典</w:t>
        </w:r>
      </w:hyperlink>
    </w:p>
    <w:p>
      <w:pPr>
        <w:spacing w:after="40"/>
        <w:ind w:left="0"/>
      </w:pPr>
      <w:hyperlink w:anchor="S0005">
        <w:r>
          <w:rPr>
            <w:color w:val="000000"/>
          </w:rPr>
          <w:t>状态分区</w:t>
        </w:r>
      </w:hyperlink>
    </w:p>
    <w:p>
      <w:pPr>
        <w:spacing w:after="40"/>
        <w:ind w:left="0"/>
      </w:pPr>
      <w:hyperlink w:anchor="S0006">
        <w:r>
          <w:rPr>
            <w:color w:val="000000"/>
          </w:rPr>
          <w:t>七条时间轴</w:t>
        </w:r>
      </w:hyperlink>
    </w:p>
    <w:p>
      <w:pPr>
        <w:spacing w:after="40"/>
        <w:ind w:left="0"/>
      </w:pPr>
      <w:hyperlink w:anchor="S0007">
        <w:r>
          <w:rPr>
            <w:color w:val="000000"/>
          </w:rPr>
          <w:t>目标时点与修订</w:t>
        </w:r>
      </w:hyperlink>
    </w:p>
    <w:p>
      <w:pPr>
        <w:spacing w:after="40"/>
        <w:ind w:left="0"/>
      </w:pPr>
      <w:hyperlink w:anchor="S0008">
        <w:r>
          <w:rPr>
            <w:color w:val="000000"/>
          </w:rPr>
          <w:t>自然语言路由与增量更新</w:t>
        </w:r>
      </w:hyperlink>
    </w:p>
    <w:p>
      <w:pPr>
        <w:spacing w:after="40"/>
        <w:ind w:left="0"/>
      </w:pPr>
      <w:hyperlink w:anchor="S0009">
        <w:r>
          <w:rPr>
            <w:color w:val="000000"/>
          </w:rPr>
          <w:t>最小运行状态样本</w:t>
        </w:r>
      </w:hyperlink>
    </w:p>
    <w:p>
      <w:pPr>
        <w:spacing w:after="40"/>
        <w:ind w:left="0"/>
      </w:pPr>
      <w:hyperlink w:anchor="S0010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11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12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13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R37 新生儿疾病筛查管理办法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18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患者、住院、出生、资料、治疗、设备与病例版本的事件化状态和自然语言路由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病例实体与隔离</w:t>
      </w:r>
      <w:bookmarkEnd w:id="3"/>
    </w:p>
    <w:p>
      <w:r>
        <w:rPr>
          <w:b w:val="0"/>
        </w:rPr>
        <w:t>patient_id为患儿；encounter_id为当前住院；birth_event_id为出生事件；maternal_patient_id只链接可靠围产背景；多胞胎各有patient_id。每次操作procedure_id、设备device_id、处方order_id、实际给药administration_id、标本specimen_id、报告report_id、诊断diagnosis_version、监护沟通communication_id独立。床号变动不新建患儿；同名不合并；再次住院新建encounter_id，旧住院只作为明确日期既往事实引用。</w:t>
      </w:r>
    </w:p>
    <w:p>
      <w:bookmarkStart w:id="4" w:name="S0004"/>
      <w:pPr>
        <w:pStyle w:val="Heading1"/>
      </w:pPr>
      <w:r>
        <w:t>来源封装和状态字典</w:t>
      </w:r>
      <w:bookmarkEnd w:id="4"/>
    </w:p>
    <w:p>
      <w:r>
        <w:rPr>
          <w:b w:val="0"/>
        </w:rPr>
        <w:t>每条事实存value、unit、status、patient_id、encounter_id、event_time、recorded_at、available_at、source_id、source_type、author、verification、supersedes。时间包含Asia/Shanghai或实际来源时区；只有日期不能补时分。unknown、not_asked、not_examined、pending_result、pending_verification、conflicting、confirmed_positive、confirmed_negative、not_applicable分别保存；缺失不是0也不是阴性。知识库条目另存knowledge_source，不能复用患者fact_id。</w:t>
      </w:r>
    </w:p>
    <w:p>
      <w:r>
        <w:rPr>
          <w:b w:val="0"/>
        </w:rPr>
        <w:t>治疗状态可planned、ordered、prepared、started、administered、completed、paused、stopped、cancelled、declined、resumed。合法状态不要求所有前序都有电子记录：可靠抢救执行可直接建立administered事实并标其来源，不能反推虚构事前医嘱。恢复需新决定和新执行，不从暂停结束时钟自动恢复。操作中止保留开始及中止事件，不标完整完成。设备停止使用不等拔除，移除需实际时点。</w:t>
      </w:r>
    </w:p>
    <w:p>
      <w:bookmarkStart w:id="5" w:name="S0005"/>
      <w:pPr>
        <w:pStyle w:val="Heading1"/>
      </w:pPr>
      <w:r>
        <w:t>状态分区</w:t>
      </w:r>
      <w:bookmarkEnd w:id="5"/>
    </w:p>
    <w:p>
      <w:r>
        <w:rPr>
          <w:b w:val="0"/>
        </w:rPr>
        <w:t>基本分区含出生日期、性别、实际年龄、可靠第二标识、监护来源、当前住院和诊断版本。新生儿分区含出生胎龄、出生体重、时刻、小时/日龄、月经后年龄、校正年龄、复苏与围产关联。测量分区按时间保存体重身长头围、测量方法和曲线标准；给药体重另有有效时间及确认人。临床分区为稳定史和当前动态实查；检验分区保存原文采样回报与分析；治疗分区保存药物、液体、营养、支持；重症分区保存转入转出、监护、通路与重大事件；出院分区为最终诊断、体重病情、带药设备、喂养及未闭环随访。</w:t>
      </w:r>
    </w:p>
    <w:p>
      <w:bookmarkStart w:id="6" w:name="S0006"/>
      <w:pPr>
        <w:pStyle w:val="Heading1"/>
      </w:pPr>
      <w:r>
        <w:t>七条时间轴</w:t>
      </w:r>
      <w:bookmarkEnd w:id="6"/>
    </w:p>
    <w:p>
      <w:r>
        <w:rPr>
          <w:b w:val="0"/>
        </w:rPr>
        <w:t>生长发育：出生→各年龄阶段实际测量及测评。新生儿：出生→小时龄日龄→呼吸喂养适应→检查治疗→NICU→出院。感染：症状→采样→实际治疗→回报→诊断修正→反应→出院。药物：拟定→确认→医嘱→实际给药→反应→调整→暂停停用或恢复。液体营养：评估→方案→实际输入→输出→体重电解质→调整。PICU/NICU：危重评估→实际转入→监护事件→重大异常→调整→稳定→实际转出。慢病：初诊→证据→诊断→治疗→生长器官功能→长期复诊。以上箭头是过程示意，不能因后一事件存在就补造前一步。</w:t>
      </w:r>
    </w:p>
    <w:p>
      <w:bookmarkStart w:id="7" w:name="S0007"/>
      <w:pPr>
        <w:pStyle w:val="Heading1"/>
      </w:pPr>
      <w:r>
        <w:t>目标时点与修订</w:t>
      </w:r>
      <w:bookmarkEnd w:id="7"/>
    </w:p>
    <w:p>
      <w:r>
        <w:rPr>
          <w:b w:val="0"/>
        </w:rPr>
        <w:t>先建立as_of_time，以available_at过滤当时未知的检查。event_time是发生或采样，不代表已知；available_at须来自实际回报/查阅证据，未知时不擅自认定过去已知。后续回报形成新诊断版本，保留旧文书当时合理的待排。更正保存原值、原因、来源、操作者与更正时间，已签病历按院内流程。新体重只改变新计算，历史给药仍用历史dosing_weight。</w:t>
      </w:r>
    </w:p>
    <w:p>
      <w:bookmarkStart w:id="8" w:name="S0008"/>
      <w:pPr>
        <w:pStyle w:val="Heading1"/>
      </w:pPr>
      <w:r>
        <w:t>自然语言路由与增量更新</w:t>
      </w:r>
      <w:bookmarkEnd w:id="8"/>
    </w:p>
    <w:p>
      <w:r>
        <w:rPr>
          <w:b w:val="0"/>
        </w:rPr>
        <w:t>新患儿、患儿切换、新住院、出生关联、早产年龄、体重更新、新报告、药物调整、给药、液体、支持、转入转出、危急、诊断修正、三级查房及出院共16类触发分别更新相关分区。先隔离来源再更新，不以消息较新消除身份冲突。识别文书类型和主病，按最小模块表调度；出院全核带药和设备，危急立即06，专科检查03，报告04，操作05，用药液体07，查房08，随访09。</w:t>
      </w:r>
    </w:p>
    <w:p>
      <w:r>
        <w:rPr>
          <w:b w:val="0"/>
        </w:rPr>
        <w:t>新生儿高胆红素血症首次病程：00→01→11→02＋03＋04＋101→10。</w:t>
      </w:r>
    </w:p>
    <w:p>
      <w:r>
        <w:rPr>
          <w:b w:val="0"/>
        </w:rPr>
        <w:t>早产儿NICU主任医师查房：00→01→11→02＋03＋04＋05＋08＋101→10。</w:t>
      </w:r>
    </w:p>
    <w:p>
      <w:r>
        <w:rPr>
          <w:b w:val="0"/>
        </w:rPr>
        <w:t>儿童肺炎首次病程：00→01→11→02＋03＋04＋102→10。</w:t>
      </w:r>
    </w:p>
    <w:p>
      <w:r>
        <w:rPr>
          <w:b w:val="0"/>
        </w:rPr>
        <w:t>儿童哮喘急性发作查房：00→01→11→02＋04＋07＋08＋102→10。</w:t>
      </w:r>
    </w:p>
    <w:p>
      <w:r>
        <w:rPr>
          <w:b w:val="0"/>
        </w:rPr>
        <w:t>发热待查及病原回报：00→01→11→02＋04＋103→10。</w:t>
      </w:r>
    </w:p>
    <w:p>
      <w:r>
        <w:rPr>
          <w:b w:val="0"/>
        </w:rPr>
        <w:t>急性腹泻合并脱水：00→01→11→02＋03＋04＋07＋104→10。</w:t>
      </w:r>
    </w:p>
    <w:p>
      <w:r>
        <w:rPr>
          <w:b w:val="0"/>
        </w:rPr>
        <w:t>先天性心脏病主任查房：00→01→11→02＋04＋08＋105→10。</w:t>
      </w:r>
    </w:p>
    <w:p>
      <w:r>
        <w:rPr>
          <w:b w:val="0"/>
        </w:rPr>
        <w:t>肾病综合征首次病程：00→01→11→02＋04＋105→10。</w:t>
      </w:r>
    </w:p>
    <w:p>
      <w:r>
        <w:rPr>
          <w:b w:val="0"/>
        </w:rPr>
        <w:t>惊厥持续状态抢救：00→01→11→02＋04＋06＋106→10。</w:t>
      </w:r>
    </w:p>
    <w:p>
      <w:r>
        <w:rPr>
          <w:b w:val="0"/>
        </w:rPr>
        <w:t>白血病病理回报及诊断修正：00→01→11→02＋04＋107→10。</w:t>
      </w:r>
    </w:p>
    <w:p>
      <w:r>
        <w:rPr>
          <w:b w:val="0"/>
        </w:rPr>
        <w:t>DKA危重病程：00→01→11→02＋04＋06＋07＋108→10。</w:t>
      </w:r>
    </w:p>
    <w:p>
      <w:r>
        <w:rPr>
          <w:b w:val="0"/>
        </w:rPr>
        <w:t>儿科出院记录：00→01→11→02＋07＋09＋相关专病→10。</w:t>
      </w:r>
    </w:p>
    <w:p>
      <w:bookmarkStart w:id="9" w:name="S0009"/>
      <w:pPr>
        <w:pStyle w:val="Heading1"/>
      </w:pPr>
      <w:r>
        <w:t>最小运行状态样本</w:t>
      </w:r>
      <w:bookmarkEnd w:id="9"/>
    </w:p>
    <w:p>
      <w:r>
        <w:rPr>
          <w:b w:val="0"/>
        </w:rPr>
        <w:t>以下为虚构字段结构，不含真实患儿信息；资料由使用者提供，不代表已建数据库。</w:t>
      </w:r>
    </w:p>
    <w:p>
      <w:pPr>
        <w:pStyle w:val="CodeText"/>
      </w:pPr>
      <w:r>
        <w:t>```json</w:t>
      </w:r>
    </w:p>
    <w:p>
      <w:pPr>
        <w:pStyle w:val="CodeText"/>
      </w:pPr>
      <w:r>
        <w:t>{"patient_id":"SIM-N01","encounter_id":"SIM-E01","birth_event_id":"SIM-B01","birth_time":"2026-10-28T09:00:00+08:00","gestational_age":{"weeks":35,"days":2,"source_id":"SIM-BIRTH"},"weight":{"value":2.10,"unit":"kg","measured_at":"2026-10-30T08:00:00+08:00","source_id":"SIM-W01"},"as_of_time":"2026-10-30T09:00:00+08:00","facts":[],"orders":[],"administrations":[],"devices":[],"pending_tasks":[]}</w:t>
      </w:r>
    </w:p>
    <w:p>
      <w:pPr>
        <w:pStyle w:val="CodeText"/>
      </w:pPr>
      <w:r>
        <w:t>```</w:t>
      </w:r>
    </w:p>
    <w:p>
      <w:r>
        <w:rPr>
          <w:b w:val="0"/>
        </w:rPr>
        <w:t>新会话不得靠该样本恢复患者记忆。身份冲突先隔离关联字段，不能为了拼成完整状态把其他患儿检查混入。</w:t>
      </w:r>
    </w:p>
    <w:p>
      <w:bookmarkStart w:id="10" w:name="S0010"/>
      <w:pPr>
        <w:pStyle w:val="Heading1"/>
      </w:pPr>
      <w:r>
        <w:t>完整虚构病例与输出示例</w:t>
      </w:r>
      <w:bookmarkEnd w:id="10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45；本次住院：SIM-E45。目标文书时点：2026-10-30T11:00:00+08:00。出生：2022-10-30T11:00:00+08:00；胎龄：未提供，当前较大儿童任务不据此推断。实际体重：10.0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病史及当前临床资料：10月29日给药体重10kg，10月30日实测11kg；新体重只用于后续经确认计算，不改写昨日实际给药。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调用：00→01→11→02→03→04→07→108→10。模拟结果仅演示事实和格式；实际患者需重新运行10。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10月29日给药体重10kg，10月30日实测11kg；新体重只用于后续经确认计算，不改写昨日实际给药。</w:t>
      </w:r>
    </w:p>
    <w:p>
      <w:pPr>
        <w:pStyle w:val="CodeText"/>
      </w:pPr>
      <w:r>
        <w:t>```</w:t>
      </w:r>
    </w:p>
    <w:p>
      <w:bookmarkStart w:id="11" w:name="S0011"/>
      <w:pPr>
        <w:pStyle w:val="Heading1"/>
      </w:pPr>
      <w:r>
        <w:t>医学真实性边界 常见错误与模块协同</w:t>
      </w:r>
      <w:bookmarkEnd w:id="11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12" w:name="S0012"/>
      <w:pPr>
        <w:pStyle w:val="Heading1"/>
      </w:pPr>
      <w:r>
        <w:t>模块质量控制清单</w:t>
      </w:r>
      <w:bookmarkEnd w:id="12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13" w:name="S0013"/>
      <w:pPr>
        <w:pStyle w:val="Heading1"/>
      </w:pPr>
      <w:r>
        <w:t>指南规范及证据来源</w:t>
      </w:r>
      <w:bookmarkEnd w:id="13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14" w:name="S0014"/>
      <w:pPr>
        <w:pStyle w:val="Heading2"/>
      </w:pPr>
      <w:r>
        <w:t>R01 病历书写基本规范</w:t>
      </w:r>
      <w:bookmarkEnd w:id="14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15" w:name="S0015"/>
      <w:pPr>
        <w:pStyle w:val="Heading2"/>
      </w:pPr>
      <w:r>
        <w:t>R02 医疗质量安全核心制度要点</w:t>
      </w:r>
      <w:bookmarkEnd w:id="15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16" w:name="S0016"/>
      <w:pPr>
        <w:pStyle w:val="Heading2"/>
      </w:pPr>
      <w:r>
        <w:t>R37 新生儿疾病筛查管理办法</w:t>
      </w:r>
      <w:bookmarkEnd w:id="16"/>
    </w:p>
    <w:p>
      <w:r>
        <w:rPr>
          <w:b w:val="0"/>
        </w:rPr>
        <w:t>发布机构：卫生部。正式年份及实际版本：2009 部令第64号 官网法规页2018。资料性质：部门规章。适用年龄和人群：新生儿筛查服务。本次核验范围：官方条文。可用关键证据及限制：采样、检测、阳性召回、确诊及治疗分别管理，筛查不替代确诊。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17" w:name="S0017"/>
      <w:pPr>
        <w:pStyle w:val="Heading2"/>
      </w:pPr>
      <w:r>
        <w:t>尚待补齐的来源</w:t>
      </w:r>
      <w:bookmarkEnd w:id="17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18" w:name="S0018"/>
      <w:pPr>
        <w:pStyle w:val="Heading1"/>
      </w:pPr>
      <w:r>
        <w:t>版本更新与维护说明</w:t>
      </w:r>
      <w:bookmarkEnd w:id="18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fzs/c100048/201808/1c2e7c86802d4519824c26855979c064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儿科AI自动调用路由与患儿病例状态管理规则库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