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before="0" w:line="264" w:lineRule="auto"/>
      </w:pPr>
    </w:p>
    <w:p>
      <w:pPr>
        <w:pStyle w:val="Title"/>
        <w:spacing w:after="120"/>
      </w:pPr>
      <w:r>
        <w:rPr>
          <w:rFonts w:ascii="Microsoft YaHei" w:hAnsi="Microsoft YaHei" w:eastAsia="Microsoft YaHei"/>
          <w:b/>
          <w:color w:val="000000"/>
          <w:sz w:val="46"/>
        </w:rPr>
        <w:t>数字化交付平台项目技术进展汇报</w:t>
      </w:r>
    </w:p>
    <w:p>
      <w:pPr>
        <w:spacing w:after="360" w:before="0" w:line="264" w:lineRule="auto"/>
      </w:pPr>
      <w:r>
        <w:rPr>
          <w:rFonts w:ascii="Microsoft YaHei" w:hAnsi="Microsoft YaHei" w:eastAsia="Microsoft YaHei"/>
          <w:b w:val="0"/>
          <w:color w:val="595959"/>
          <w:sz w:val="26"/>
        </w:rPr>
        <w:t>阶段进展汇报稿 | 面向项目管理与经营决策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汇报对象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Microsoft YaHei" w:hAnsi="Microsoft YaHei" w:eastAsia="Microsoft YaHei"/>
                <w:color w:val="1F1F1F"/>
                <w:sz w:val="20"/>
              </w:rPr>
              <w:t>公司管理层 / 项目负责人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文档定位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Microsoft YaHei" w:hAnsi="Microsoft YaHei" w:eastAsia="Microsoft YaHei"/>
                <w:color w:val="1F1F1F"/>
                <w:sz w:val="20"/>
              </w:rPr>
              <w:t>说明项目当前建设进展、阶段成果、业务价值、能力边界与下一阶段建议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当前阶段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Microsoft YaHei" w:hAnsi="Microsoft YaHei" w:eastAsia="Microsoft YaHei"/>
                <w:color w:val="1F1F1F"/>
                <w:sz w:val="20"/>
              </w:rPr>
              <w:t>一期后端数据治理已收口，准备进入二期平台功能建设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文档日期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Microsoft YaHei" w:hAnsi="Microsoft YaHei" w:eastAsia="Microsoft YaHei"/>
                <w:color w:val="1F1F1F"/>
                <w:sz w:val="20"/>
              </w:rPr>
              <w:t>2026年5月9日</w:t>
            </w:r>
          </w:p>
        </w:tc>
      </w:tr>
    </w:tbl>
    <w:p>
      <w:pPr>
        <w:spacing w:after="80" w:before="0" w:line="264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阶段结论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1F1F"/>
                <w:sz w:val="21"/>
              </w:rPr>
              <w:t>当前项目已经完成一期后端数据治理底座，具备项目资产建档、NAS 影子接管、扫描入库、审核治理、审计事件流和 Agent 接入能力。下一阶段应将这些后端能力产品化，形成可操作、可演示、可交付的平台雏形。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</w:pPr>
      <w:r>
        <w:t>一、项目定位与建设背景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  <w:b w:val="0"/>
          <w:color w:val="1F1F1F"/>
          <w:sz w:val="22"/>
        </w:rPr>
        <w:t>数字化交付平台面向建筑机电/BIM交付场景建设，目标是把项目资产管理、交付过程管理、数字档案沉淀和后续智能化能力统一到同一套平台中。平台最终承担 BIM 项目资产管理、项目交付管理、数字档案馆和智慧运维底座四类价值。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  <w:b w:val="0"/>
          <w:color w:val="1F1F1F"/>
          <w:sz w:val="22"/>
        </w:rPr>
        <w:t>当前项目已经从早期 MVP 口径升级为三期路线：一期聚焦内部 BIM 资产管理试点，二期建设可对外客户交付的平台完整版，三期扩展智能审核、图模联动、模型版本对比和客户侧智能问答等增值能力。</w:t>
      </w:r>
    </w:p>
    <w:p>
      <w:pPr>
        <w:pStyle w:val="Heading1"/>
      </w:pPr>
      <w:r>
        <w:t>二、阶段目标与当前判断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当前判断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F1F1F"/>
                <w:sz w:val="21"/>
              </w:rPr>
              <w:t>一期不是为了先做完整前端平台，而是优先把公司内部大量 BIM/NAS 资产治理清楚。这个底座已基本完成，项目已经具备进入二期平台功能建设的条件。</w:t>
            </w:r>
          </w:p>
        </w:tc>
      </w:tr>
    </w:tbl>
    <w:p>
      <w:pPr>
        <w:spacing w:after="80" w:before="0" w:line="264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200"/>
        <w:gridCol w:w="2500"/>
        <w:gridCol w:w="2500"/>
        <w:gridCol w:w="3160"/>
      </w:tblGrid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定位</w:t>
            </w: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当前状态</w:t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管理层关注点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一期</w:t>
            </w: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内部 BIM 资产管理试点</w:t>
            </w: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后端数据治理已收口</w:t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资产能建档、能扫描、能审核、能检索、能审计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二期</w:t>
            </w: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客户交付完整版</w:t>
            </w: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准备启动平台化功能建设</w:t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形成可操作界面、导入能力、预览能力、审核流和客户部署能力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三期</w:t>
            </w: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增值服务与持续演进</w:t>
            </w:r>
          </w:p>
        </w:tc>
        <w:tc>
          <w:tcPr>
            <w:tcW w:type="dxa" w:w="2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后续规划</w:t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智能审核、问答、图模联动、构件级服务和行业扩展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</w:pPr>
      <w:r>
        <w:t>三、一期已完成成果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  <w:b w:val="0"/>
          <w:color w:val="1F1F1F"/>
          <w:sz w:val="22"/>
        </w:rPr>
        <w:t>一期后端数据治理已经按批次完成，并通过测试复验。核心成果包括以下几类：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建立项目资产台账，支持项目清单管理和 CSV/xlsx 批量导入。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建立 NAS 路径映射和扫描任务能力，支持真实 NAS 只读影子导入。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建立扫描候选与待审核队列，高置信自动入库，低置信进入人工审核。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建立正式文件资产库，记录文件名、格式、大小、版本、专业、来源、路径、checksum 和处理状态。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建立异步任务、容量统计、审计日志和事件流，为后续增量同步提供基础。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建立企业 Agent API Key、项目范围授权、任务触发、标注申请和删除申请能力。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建立删除申请、人工审批、隔离恢复和受控永久删除机制，避免绕过审批直接操作 NAS 原文件。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700"/>
        <w:gridCol w:w="3860"/>
        <w:gridCol w:w="380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能力域</w:t>
            </w:r>
          </w:p>
        </w:tc>
        <w:tc>
          <w:tcPr>
            <w:tcW w:type="dxa" w:w="3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已具备能力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业务意义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项目资产台账</w:t>
            </w:r>
          </w:p>
        </w:tc>
        <w:tc>
          <w:tcPr>
            <w:tcW w:type="dxa" w:w="3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项目建档、批量导入、项目状态维护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让历史项目资产有统一入口和管理口径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NAS 治理</w:t>
            </w:r>
          </w:p>
        </w:tc>
        <w:tc>
          <w:tcPr>
            <w:tcW w:type="dxa" w:w="3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路径映射、扫描、候选审核、正式入库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在不搬迁大文件的前提下纳入治理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数据质量</w:t>
            </w:r>
          </w:p>
        </w:tc>
        <w:tc>
          <w:tcPr>
            <w:tcW w:type="dxa" w:w="3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低价值文件识别、临时目录降级、幂等重扫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降低误入库和重复治理成本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Agent 接入</w:t>
            </w:r>
          </w:p>
        </w:tc>
        <w:tc>
          <w:tcPr>
            <w:tcW w:type="dxa" w:w="3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稳定读模型、OpenAPI、API Key、事件流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为智能检索和后续自动化能力打基础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安全审计</w:t>
            </w:r>
          </w:p>
        </w:tc>
        <w:tc>
          <w:tcPr>
            <w:tcW w:type="dxa" w:w="3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项目隔离、操作留痕、删除审批、隔离区</w:t>
            </w:r>
          </w:p>
        </w:tc>
        <w:tc>
          <w:tcPr>
            <w:tcW w:type="dxa" w:w="3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满足内控、追责和客户交付安全要求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</w:pPr>
      <w:r>
        <w:t>四、真实 NAS 接入策略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  <w:b w:val="0"/>
          <w:color w:val="1F1F1F"/>
          <w:sz w:val="22"/>
        </w:rPr>
        <w:t>当前真实 NAS 根路径为 /Volumes/zyzn/卓羽智能项目。项目采用只读影子导入策略：平台扫描并登记元数据，不移动、不改名、不删除原始 NAS 文件。该策略保护现有生产资料结构，也降低了历史资产治理的落地风险。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一级目录用于识别项目或资料目录，二级目录作为资料类型和置信度线索。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符合“数字-项目名”的目录优先按数字生成项目编码；重复编号必须进入冲突处理或人工确认。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投标、参考、样板、标准、临时和专题资料目录不得直接作为正式项目入库。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系统缓存、Office 锁文件、空文件和明显临时文件不得自动进入正式资产。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正式变更和高风险操作必须通过人工审核与审计流程。</w:t>
      </w:r>
    </w:p>
    <w:p>
      <w:pPr>
        <w:pStyle w:val="Heading1"/>
      </w:pPr>
      <w:r>
        <w:t>五、当前业务价值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解决历史项目资产分散问题：公司内部大量 BIM、图纸、文档资料原本分布在 NAS 中，平台已具备统一建档、统一检索和统一审计的底座。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降低二期建设返工风险：先把项目、文件、权限、审核、事件和 Agent 边界理顺，避免后续前端平台成为缺少真实数据支撑的展示系统。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提前形成智能化接口基础：通过稳定 SQL View、REST/OpenAPI、事件流和 API Key，为企业 Agent、智能检索和智能审核保留长期接口。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建立安全治理原则：平台逻辑删除不碰 NAS 文件，物理删除必须申请、审批、隔离和审计，降低误删和越权风险。</w:t>
      </w:r>
    </w:p>
    <w:p>
      <w:pPr>
        <w:pStyle w:val="Heading1"/>
      </w:pPr>
      <w:r>
        <w:t>六、当前能力边界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  <w:b w:val="0"/>
          <w:color w:val="1F1F1F"/>
          <w:sz w:val="22"/>
        </w:rPr>
        <w:t>当前成果应定位为“后端治理底座已完成”，还不能等同于“完整平台已完成”。平台的可视化操作、业务导入、文件预览、交付审核流和客户部署能力仍属于二期重点。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000"/>
        <w:gridCol w:w="3100"/>
        <w:gridCol w:w="3260"/>
      </w:tblGrid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已完成</w:t>
            </w:r>
          </w:p>
        </w:tc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暂未作为一期范围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二期应补齐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NAS 元数据治理</w:t>
            </w:r>
          </w:p>
        </w:tc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平台主动上传文件到 NAS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平台侧项目导入、文件上传和自动建档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REST API 与 OpenAPI 运维</w:t>
            </w:r>
          </w:p>
        </w:tc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完善前端资产管理页面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项目管理、资产浏览、审核处理、统计看板页面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Agent 查询与申请</w:t>
            </w:r>
          </w:p>
        </w:tc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Agent 直接修改正式资产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人机协同的审批、标注和任务处理体验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元数据检索</w:t>
            </w:r>
          </w:p>
        </w:tc>
        <w:tc>
          <w:tcPr>
            <w:tcW w:type="dxa" w:w="31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正文解析和构件级检索</w:t>
            </w:r>
          </w:p>
        </w:tc>
        <w:tc>
          <w:tcPr>
            <w:tcW w:type="dxa" w:w="3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文件预览、模型轻量化、构件属性与搜索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</w:pPr>
      <w:r>
        <w:t>七、主要风险与管理建议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  <w:b w:val="0"/>
          <w:color w:val="1F1F1F"/>
          <w:sz w:val="22"/>
        </w:rPr>
        <w:t>下一阶段从后端治理转向平台功能，风险将从“数据结构是否稳定”转向“业务闭环是否可用”。建议重点关注以下事项：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平台体验尚未成型：当前主要能力在后端，业务人员还缺少完整可操作界面。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真实 NAS 数据复杂：项目编号重复、临时目录、参考资料和低价值文件较多，需要规则治理和人工确认并行。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二期范围明显扩大：文件预览、审核流、模型轻量化、构件能力和客户部署都将引入新的工程复杂度。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1"/>
        </w:rPr>
        <w:t>存储策略需要提前定稿：二期既要支持客户现场存储，也要通过 StorageProvider 保持统一授权访问和审计入口。</w:t>
      </w:r>
    </w:p>
    <w:p>
      <w:pPr>
        <w:pStyle w:val="Heading1"/>
      </w:pPr>
      <w:r>
        <w:t>八、二期建设建议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00"/>
        <w:gridCol w:w="3400"/>
        <w:gridCol w:w="5060"/>
      </w:tblGrid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优先级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建议事项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目标结果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P0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建设平台基础操作界面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项目管理、资产浏览、待审核处理、基础查询可视化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P0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打通平台导入能力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支持新项目初始化、上传文档/图纸/模型、自动建档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P0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建设文件访问与预览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通过平台授权访问文件，隐藏底层路径，支持下载权限分离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P0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推进标准驱动和审核流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把主数据、交付标准、文件绑定和审核流程整合进主线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P1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接入模型轻量化与构件能力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支持 Web/移动端模型查看、构件属性、搜索、定位和高亮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P1</w:t>
            </w:r>
          </w:p>
        </w:tc>
        <w:tc>
          <w:tcPr>
            <w:tcW w:type="dxa" w:w="3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完善客户交付能力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1F1F"/>
                <w:sz w:val="19"/>
              </w:rPr>
              <w:t>形成部署、备份、恢复、运维、验收和用户文档包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</w:pPr>
      <w:r>
        <w:t>九、阶段结论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  <w:b w:val="0"/>
          <w:color w:val="1F1F1F"/>
          <w:sz w:val="22"/>
        </w:rPr>
        <w:t>数字化交付平台当前已经完成一期后端数据治理建设，成功建立面向 NAS 资产治理和 Agent 接入的核心底座。该阶段虽然尚未形成完整平台产品形态，但已经实质性解决了项目资产建档、扫描入库、审核治理、权限控制、审计追踪和智能接口预留等关键问题。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  <w:b w:val="0"/>
          <w:color w:val="1F1F1F"/>
          <w:sz w:val="22"/>
        </w:rPr>
        <w:t>下一阶段建议正式转入二期平台功能建设，以“可视化、可操作、可交付”为目标，把已经完成的后端治理能力转化为业务人员可使用、管理层可演示、客户现场可部署的平台产品。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595959"/>
        <w:sz w:val="18"/>
      </w:rPr>
      <w:t>内部汇报材料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color w:val="595959"/>
        <w:sz w:val="18"/>
      </w:rPr>
      <w:t>数字化交付平台 | 项目技术进展汇报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