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One law, two dimensions of ageing: a drifting haematological type-2 set-point couples functional ageing to allergic disease, while molecular clocks remain largely decoupled from the primary allergic endpoints</w:t>
      </w:r>
    </w:p>
    <w:p>
      <w:pPr>
        <w:spacing w:after="120" w:line="480" w:lineRule="auto"/>
      </w:pPr>
      <w:r>
        <w:rPr>
          <w:rFonts w:ascii="Times New Roman" w:hAnsi="Times New Roman"/>
          <w:b/>
          <w:i w:val="0"/>
          <w:sz w:val="24"/>
        </w:rPr>
        <w:t>Authors:</w:t>
      </w:r>
      <w:r>
        <w:rPr>
          <w:rFonts w:ascii="Times New Roman" w:hAnsi="Times New Roman"/>
          <w:i w:val="0"/>
          <w:sz w:val="24"/>
        </w:rPr>
        <w:t xml:space="preserve"> Hongjuan Fang1,\*; Lijuan Bu2; Lili Wang2; Qiang Wang2,\*</w:t>
      </w:r>
    </w:p>
    <w:p>
      <w:pPr>
        <w:spacing w:after="120" w:line="480" w:lineRule="auto"/>
      </w:pPr>
      <w:r>
        <w:rPr>
          <w:rFonts w:ascii="Times New Roman" w:hAnsi="Times New Roman"/>
          <w:b/>
          <w:i w:val="0"/>
          <w:sz w:val="24"/>
        </w:rPr>
        <w:t>Affiliations:</w:t>
      </w:r>
      <w:r>
        <w:rPr>
          <w:rFonts w:ascii="Times New Roman" w:hAnsi="Times New Roman"/>
          <w:i w:val="0"/>
          <w:sz w:val="24"/>
        </w:rPr>
        <w:t xml:space="preserve"> 1 Department of Endocrinology, Aviation General Hospital, Beijing 100012, China; 2 Chinese PLA Center for Disease Control and Prevention, Beijing 100071, China</w:t>
      </w:r>
    </w:p>
    <w:p>
      <w:pPr>
        <w:spacing w:after="120" w:line="480" w:lineRule="auto"/>
      </w:pPr>
      <w:r>
        <w:rPr>
          <w:rFonts w:ascii="Times New Roman" w:hAnsi="Times New Roman"/>
          <w:b/>
          <w:i w:val="0"/>
          <w:sz w:val="24"/>
        </w:rPr>
        <w:t>Corresponding author:</w:t>
      </w:r>
      <w:r>
        <w:rPr>
          <w:rFonts w:ascii="Times New Roman" w:hAnsi="Times New Roman"/>
          <w:i w:val="0"/>
          <w:sz w:val="24"/>
        </w:rPr>
        <w:t xml:space="preserve"> Hongjuan Fang (tthfhj@163.com; ORCID: 0000-0001-8321-9902; No. 3 Anwai Beiyuan Road, Beijing 100012, China) and Qiang Wang (wang76qiang@163.com; ORCID: 0000-0003-4392-0889; 20 Dongda Street, Beijing 100071, China).</w:t>
      </w:r>
    </w:p>
    <w:p>
      <w:pPr>
        <w:spacing w:after="120" w:line="480" w:lineRule="auto"/>
      </w:pPr>
      <w:r>
        <w:rPr>
          <w:rFonts w:ascii="Times New Roman" w:hAnsi="Times New Roman"/>
          <w:b/>
          <w:i w:val="0"/>
          <w:sz w:val="24"/>
        </w:rPr>
        <w:t>Article type:</w:t>
      </w:r>
      <w:r>
        <w:rPr>
          <w:rFonts w:ascii="Times New Roman" w:hAnsi="Times New Roman"/>
          <w:i w:val="0"/>
          <w:sz w:val="24"/>
        </w:rPr>
        <w:t xml:space="preserve"> Article. </w:t>
      </w:r>
      <w:r>
        <w:rPr>
          <w:rFonts w:ascii="Times New Roman" w:hAnsi="Times New Roman"/>
          <w:b/>
          <w:i w:val="0"/>
          <w:sz w:val="24"/>
        </w:rPr>
        <w:t>Keywords:</w:t>
      </w:r>
      <w:r>
        <w:rPr>
          <w:rFonts w:ascii="Times New Roman" w:hAnsi="Times New Roman"/>
          <w:i w:val="0"/>
          <w:sz w:val="24"/>
        </w:rPr>
        <w:t xml:space="preserve"> ageing dimensions; frailty; epigenetic clocks; allergic disease; Mendelian randomization; set-point drift; IL-18; inflammasome; drug repurposing.</w:t>
      </w:r>
    </w:p>
    <w:p>
      <w:pPr>
        <w:pStyle w:val="Heading1"/>
      </w:pPr>
      <w:r>
        <w:rPr>
          <w:rFonts w:ascii="Times New Roman" w:hAnsi="Times New Roman"/>
          <w:color w:val="000000"/>
        </w:rPr>
        <w:t>Research in context</w:t>
      </w:r>
    </w:p>
    <w:p>
      <w:pPr>
        <w:pStyle w:val="Heading2"/>
      </w:pPr>
      <w:r>
        <w:rPr>
          <w:rFonts w:ascii="Times New Roman" w:hAnsi="Times New Roman"/>
          <w:color w:val="000000"/>
        </w:rPr>
        <w:t>Evidence before this study</w:t>
      </w:r>
    </w:p>
    <w:p>
      <w:pPr>
        <w:spacing w:after="120" w:line="480" w:lineRule="auto"/>
      </w:pPr>
      <w:r>
        <w:rPr>
          <w:rFonts w:ascii="Times New Roman" w:hAnsi="Times New Roman"/>
          <w:i w:val="0"/>
          <w:sz w:val="24"/>
        </w:rPr>
        <w:t>Allergic diseases (asthma, rhinitis and atopic dermatitis) affect more than a billion people and are conventionally framed as early-life immune programming. Yet allergy is common in older adults, and which *dimension* of ageing carries this susceptibility has never been formally adjudicated: molecular ageing is read by epigenetic clocks[1][2][3], functional ageing by deficit accumulation (frailty), and the two correlate only modestly. Genetic studies have treated ageing as a single quantity; allergic propensity has never been formalized as a quantitative process; and no candidate mediator has been triangulated across genetic, population, cellular and pharmacological layers. (This panel is a narrative synthesis of the cited literature rather than a systematic review; no formal database search with pre-specified terms was performed.)</w:t>
      </w:r>
    </w:p>
    <w:p>
      <w:pPr>
        <w:pStyle w:val="Heading2"/>
      </w:pPr>
      <w:r>
        <w:rPr>
          <w:rFonts w:ascii="Times New Roman" w:hAnsi="Times New Roman"/>
          <w:color w:val="000000"/>
        </w:rPr>
        <w:t>Added value of this study</w:t>
      </w:r>
    </w:p>
    <w:p>
      <w:pPr>
        <w:spacing w:after="120" w:line="480" w:lineRule="auto"/>
      </w:pPr>
      <w:r>
        <w:rPr>
          <w:rFonts w:ascii="Times New Roman" w:hAnsi="Times New Roman"/>
          <w:i w:val="0"/>
          <w:sz w:val="24"/>
        </w:rPr>
        <w:t>Under a pre-specified adjudication scheme triangulating Mendelian randomization (MR), canonical genetic correlation, population and longitudinal cohorts, cell-type and single-cell analyses, drug-target genetics and pharmacovigilance (168 machine-readable additional files), we show that a functional frailty dimension (reproducibly not the clocks) shares architecture with allergic disease, preferentially with adult-onset asthma (rg 0.487 vs 0.209 for childhood-onset, P = 5.7 × 10⁻⁹). We formalize allergic propensity as a regulated haematological type-2 set-point that drifts 0.074 SD per decade in cross-sectional data (two survey cycles; 0.070 after birth-cohort adjustment), mildly accelerates after midlife, keeps intact damping, and carries an age-invariant allergic-risk gain confirmed against objective IgE for the full index (the objective layer is eosinophil carried); a target-trial emulation bounds the association against unmeasured confounding (OR 1.86, E-value 2.66). An outcome-wide coupling map (85 tests) generalizes the dimension law with clean boundaries. IL18 is established as an assay-robust, barrier-resident translational node (same three cis instruments across platforms; the genetic evidence is anchored to atopic dermatitis) whose full ATP-inflammasome maturation machinery co-localizes in lung macrophages, and a triple-filter screen of geroprotective compounds quantifies the barrier-immune cost of anti-ageing pharmacology (only metoprolol and LY-294002 pass; LINCS single-resource, and LY-294002 is a tool compound).</w:t>
      </w:r>
    </w:p>
    <w:p>
      <w:pPr>
        <w:pStyle w:val="Heading2"/>
      </w:pPr>
      <w:r>
        <w:rPr>
          <w:rFonts w:ascii="Times New Roman" w:hAnsi="Times New Roman"/>
          <w:color w:val="000000"/>
        </w:rPr>
        <w:t>Implications of all the available evidence</w:t>
      </w:r>
    </w:p>
    <w:p>
      <w:pPr>
        <w:spacing w:after="120" w:line="480" w:lineRule="auto"/>
      </w:pPr>
      <w:r>
        <w:rPr>
          <w:rFonts w:ascii="Times New Roman" w:hAnsi="Times New Roman"/>
          <w:i w:val="0"/>
          <w:sz w:val="24"/>
        </w:rPr>
        <w:t>Allergy of older adults is the cumulative read-out of a lifelong, measurably drifting set-point that belongs to the functional ageing dimension and is visible in a routine blood count. Prevention can target a druggable inflammasome-IL-18 node, and the coming generation of anti-ageing therapeutics should be screened for barrier-immune cost, favouring combination (senolytic plus anti-alarmin) strategies over single-agent repurposing.</w:t>
      </w:r>
    </w:p>
    <w:p>
      <w:pPr>
        <w:pStyle w:val="Heading1"/>
      </w:pPr>
      <w:r>
        <w:rPr>
          <w:rFonts w:ascii="Times New Roman" w:hAnsi="Times New Roman"/>
          <w:color w:val="000000"/>
        </w:rPr>
        <w:t>Summary</w:t>
      </w:r>
    </w:p>
    <w:p>
      <w:pPr>
        <w:spacing w:after="120" w:line="480" w:lineRule="auto"/>
      </w:pPr>
      <w:r>
        <w:rPr>
          <w:rFonts w:ascii="Times New Roman" w:hAnsi="Times New Roman"/>
          <w:b/>
          <w:i w:val="0"/>
          <w:sz w:val="24"/>
        </w:rPr>
        <w:t>Background</w:t>
      </w:r>
      <w:r>
        <w:rPr>
          <w:rFonts w:ascii="Times New Roman" w:hAnsi="Times New Roman"/>
          <w:i w:val="0"/>
          <w:sz w:val="24"/>
        </w:rPr>
        <w:t xml:space="preserve"> Ageing is heterogeneous. Whether allergic susceptibility belongs to the molecular (epigenetic-clock) or the functional (deficit-accumulation) dimension is unknown, as is whether allergic propensity is a fixed trait or a drifting set-point.</w:t>
      </w:r>
    </w:p>
    <w:p>
      <w:pPr>
        <w:spacing w:after="120" w:line="480" w:lineRule="auto"/>
      </w:pPr>
      <w:r>
        <w:rPr>
          <w:rFonts w:ascii="Times New Roman" w:hAnsi="Times New Roman"/>
          <w:b/>
          <w:i w:val="0"/>
          <w:sz w:val="24"/>
        </w:rPr>
        <w:t>Methods</w:t>
      </w:r>
      <w:r>
        <w:rPr>
          <w:rFonts w:ascii="Times New Roman" w:hAnsi="Times New Roman"/>
          <w:i w:val="0"/>
          <w:sz w:val="24"/>
        </w:rPr>
        <w:t xml:space="preserve"> Five ageing instruments (four epigenetic clocks, one frailty index) and a blood-cell composite were tested against asthma, allergic rhinitis and atopic dermatitis (FinnGen R12) under a pre-specified decision tree, with independent GWAS replication and meta-analysis, MHC-free LDSC with formal dimension contrasts, multivariable and reverse MR, NHANES (14,878 participants) and HRS (45,234) cohorts with set-point models and target-trial emulation, 5q31 and cell-type colocalization, a donor-level single-cell atlas, cross-platform cis-pQTL MR with safety scanning, and LINCS pharmacological screening. Claims are graded adjudicated, nominal or hypothesis-generating.</w:t>
      </w:r>
    </w:p>
    <w:p>
      <w:pPr>
        <w:spacing w:after="120" w:line="480" w:lineRule="auto"/>
      </w:pPr>
      <w:r>
        <w:rPr>
          <w:rFonts w:ascii="Times New Roman" w:hAnsi="Times New Roman"/>
          <w:b/>
          <w:i w:val="0"/>
          <w:sz w:val="24"/>
        </w:rPr>
        <w:t>Findings</w:t>
      </w:r>
      <w:r>
        <w:rPr>
          <w:rFonts w:ascii="Times New Roman" w:hAnsi="Times New Roman"/>
          <w:i w:val="0"/>
          <w:sz w:val="24"/>
        </w:rPr>
        <w:t xml:space="preserve"> The frailty dimension, not the clocks, carried the genetic overlap with allergic disease (asthma rg 0.458-0.467; rhinitis 0.353-0.361; atopic dermatitis 0.246-0.250) and coupled to 12 of 17 endpoints at FDR q &lt; 0.05, with an adult-onset preference (rg 0.487 vs 0.209, P = 5.7 x 10-9). A blood-cell composite predicted allergic outcomes (OR 1.42 per SD) and objective IgE, and behaved as a type-2 set-point whose level drifted 0.074 SD per decade in cross-sectional data (0.070 after birth-cohort adjustment), accelerated after midlife, kept intact damping, and carried an age-invariant risk gain (target-trial OR 1.86; E-value 2.66). A pQTL meta-analysis established IL18 as an assay-robust (OR 1.19, I2 = 0%; same three cis instruments across platforms; the genetic evidence is anchored to atopic dermatitis, European ancestry) barrier-resident node with a complete ATP-inflammasome machinery, and only 2 of 52 geroprotectors suppress ageing without amplifying the alarmin programme.</w:t>
      </w:r>
    </w:p>
    <w:p>
      <w:pPr>
        <w:spacing w:after="120" w:line="480" w:lineRule="auto"/>
      </w:pPr>
      <w:r>
        <w:rPr>
          <w:rFonts w:ascii="Times New Roman" w:hAnsi="Times New Roman"/>
          <w:b/>
          <w:i w:val="0"/>
          <w:sz w:val="24"/>
        </w:rPr>
        <w:t>Interpretation</w:t>
      </w:r>
      <w:r>
        <w:rPr>
          <w:rFonts w:ascii="Times New Roman" w:hAnsi="Times New Roman"/>
          <w:i w:val="0"/>
          <w:sz w:val="24"/>
        </w:rPr>
        <w:t xml:space="preserve"> Allergic susceptibility is a drifting functional-ageing set-point (cross-sectional, cohort-checked), not a clock-read molecular state, with a druggable inflammasome-IL18 node and a quantifiable barrier-immune cost for anti-ageing pharmacology; causality and functional validation remain to be shown.</w:t>
      </w:r>
    </w:p>
    <w:p>
      <w:pPr>
        <w:spacing w:after="120" w:line="480" w:lineRule="auto"/>
      </w:pPr>
      <w:r>
        <w:rPr>
          <w:rFonts w:ascii="Times New Roman" w:hAnsi="Times New Roman"/>
          <w:b/>
          <w:i w:val="0"/>
          <w:sz w:val="24"/>
        </w:rPr>
        <w:t>Funding</w:t>
      </w:r>
      <w:r>
        <w:rPr>
          <w:rFonts w:ascii="Times New Roman" w:hAnsi="Times New Roman"/>
          <w:i w:val="0"/>
          <w:sz w:val="24"/>
        </w:rPr>
        <w:t xml:space="preserve"> This work was supported by grants from the Natural Science Foundation of Beijing Municipality (7232047 and 7242192) and the Beijing Municipal Administration of Hospitals Incubating Program (PX2023019).</w:t>
      </w:r>
    </w:p>
    <w:p>
      <w:pPr>
        <w:pStyle w:val="Heading1"/>
      </w:pPr>
      <w:r>
        <w:rPr>
          <w:rFonts w:ascii="Times New Roman" w:hAnsi="Times New Roman"/>
          <w:color w:val="000000"/>
        </w:rPr>
        <w:t>1. Introduction</w:t>
      </w:r>
    </w:p>
    <w:p>
      <w:pPr>
        <w:spacing w:after="120" w:line="480" w:lineRule="auto"/>
      </w:pPr>
      <w:r>
        <w:rPr>
          <w:rFonts w:ascii="Times New Roman" w:hAnsi="Times New Roman"/>
          <w:i w:val="0"/>
          <w:sz w:val="24"/>
        </w:rPr>
        <w:t>Ageing is measured two ways, and the two are not the same. Molecular ageing is read from epigenetic clocks built to predict chronological age or mortality; functional ageing is read from the accumulation of health deficits, frailty[4][5]. The two families correlate only modestly, respond differently to intervention[6][7], and may couple to different diseases. Allergic disease is an instructive test case for this partition. It is the most common chronic immune disorder of high-income countries[8][9]; it is classically attributed to early-life immune programming; and yet adult-onset disease is frequent[10], and the same low-grade inflammatory drift that marks ageing (inflammageing) tracks atopic morbidity[11][12]. Three mutually exclusive readings have never been adjudicated: allergic susceptibility could be constitutional (no ageing architecture at all), a clock phenomenon (molecular-age-driven), or a functional-dimension phenomenon (deficit-accumulation-driven).</w:t>
      </w:r>
    </w:p>
    <w:p>
      <w:pPr>
        <w:spacing w:after="120" w:line="480" w:lineRule="auto"/>
      </w:pPr>
      <w:r>
        <w:rPr>
          <w:rFonts w:ascii="Times New Roman" w:hAnsi="Times New Roman"/>
          <w:i w:val="0"/>
          <w:sz w:val="24"/>
        </w:rPr>
        <w:t>The adjudication matters beyond taxonomy. A constitutional reading forecloses prevention through ageing biology. A clock reading points to methylation-modifying interventions. A functional reading predicts three things a clock reading does not: shared genetic architecture with deficit accumulation; a measurable drift of allergic propensity with age in ordinary physiology, rather than a stable constitutional level; and resolution onto druggable inflammatory nodes of barrier tissue. We therefore pitted five ageing instruments and a blood-cell composite against three allergic outcomes[13] under a pre-specified adjudication scheme, formalized the winning construct as a quantitative set-point process in population data (with explicit birth-cohort and period-effect decomposition), and carried the strongest molecular signal through cellular, mechanistic, knowledge-base and pharmacological layers. The design is deliberately adversarial throughout: negative controls, directionality audits, eosinophil-free reconstructions[14], ambient-RNA falsification, leave-one-instrument-out audits, and explicit claim grading (adjudicated, nominal, hypothesis-generating), so that each flagship statement survives or falls on its own terms.</w:t>
      </w:r>
    </w:p>
    <w:p>
      <w:pPr>
        <w:pStyle w:val="Heading1"/>
      </w:pPr>
      <w:r>
        <w:rPr>
          <w:rFonts w:ascii="Times New Roman" w:hAnsi="Times New Roman"/>
          <w:color w:val="000000"/>
        </w:rPr>
        <w:t>2. Methods</w:t>
      </w:r>
    </w:p>
    <w:p>
      <w:pPr>
        <w:pStyle w:val="Heading2"/>
      </w:pPr>
      <w:r>
        <w:rPr>
          <w:rFonts w:ascii="Times New Roman" w:hAnsi="Times New Roman"/>
          <w:color w:val="000000"/>
        </w:rPr>
        <w:t>2.1 Design, adjudication and claim grading</w:t>
      </w:r>
    </w:p>
    <w:p>
      <w:pPr>
        <w:spacing w:after="120" w:line="480" w:lineRule="auto"/>
      </w:pPr>
      <w:r>
        <w:rPr>
          <w:rFonts w:ascii="Times New Roman" w:hAnsi="Times New Roman"/>
          <w:i w:val="0"/>
          <w:sz w:val="24"/>
        </w:rPr>
        <w:t xml:space="preserve">Five evidence layers chain genetic adjudication, population formalization, longitudinal context, cellular mechanism and translation (data resources: Table 1). The pre-specified decision tree distinguished a concordant multi-instrument ageing effect (path A), null clocks with a positive composite (path B), and a mixed pattern requiring dimension-specific narrowing (path C). Three claim grades are used: </w:t>
      </w:r>
      <w:r>
        <w:rPr>
          <w:rFonts w:ascii="Times New Roman" w:hAnsi="Times New Roman"/>
          <w:b/>
          <w:i w:val="0"/>
          <w:sz w:val="24"/>
        </w:rPr>
        <w:t>adjudicated</w:t>
      </w:r>
      <w:r>
        <w:rPr>
          <w:rFonts w:ascii="Times New Roman" w:hAnsi="Times New Roman"/>
          <w:i w:val="0"/>
          <w:sz w:val="24"/>
        </w:rPr>
        <w:t xml:space="preserve"> (pre-specified criteria met, FDR control within declared families, and where applicable colocalization), </w:t>
      </w:r>
      <w:r>
        <w:rPr>
          <w:rFonts w:ascii="Times New Roman" w:hAnsi="Times New Roman"/>
          <w:b/>
          <w:i w:val="0"/>
          <w:sz w:val="24"/>
        </w:rPr>
        <w:t>nominal</w:t>
      </w:r>
      <w:r>
        <w:rPr>
          <w:rFonts w:ascii="Times New Roman" w:hAnsi="Times New Roman"/>
          <w:i w:val="0"/>
          <w:sz w:val="24"/>
        </w:rPr>
        <w:t xml:space="preserve"> (P &lt; 0.05 without family control or colocalization support), </w:t>
      </w:r>
      <w:r>
        <w:rPr>
          <w:rFonts w:ascii="Times New Roman" w:hAnsi="Times New Roman"/>
          <w:b/>
          <w:i w:val="0"/>
          <w:sz w:val="24"/>
        </w:rPr>
        <w:t>hypothesis-generating</w:t>
      </w:r>
      <w:r>
        <w:rPr>
          <w:rFonts w:ascii="Times New Roman" w:hAnsi="Times New Roman"/>
          <w:i w:val="0"/>
          <w:sz w:val="24"/>
        </w:rPr>
        <w:t xml:space="preserve"> (descriptive/sensitivity tier). Analysis plans for the discovery (R5/R6) layers were specified in advance by file provenance and are archived; an OSF registration exists (https://osf.io/f4v79; registrations qm2hy and f9d3w) but is post hoc relative to the R5/R6 analyses, and later evidence layers (R7-R18, including the single-cell, cross-ancestry and pharmacological analyses) were added post hoc under internally pre-declared statistical families; no prospective external preregistration timestamp was obtained at analysis time, so the a priori property of the R5/R6 analyses rests on file provenance and repository archival. Deviations are logged; all code and 168 additional files are public and versioned.[15]</w:t>
      </w:r>
    </w:p>
    <w:p>
      <w:pPr>
        <w:pStyle w:val="Heading2"/>
      </w:pPr>
      <w:r>
        <w:rPr>
          <w:rFonts w:ascii="Times New Roman" w:hAnsi="Times New Roman"/>
          <w:color w:val="000000"/>
        </w:rPr>
        <w:t>2.2 Genetic instruments and two-sample MR</w:t>
      </w:r>
    </w:p>
    <w:p>
      <w:pPr>
        <w:spacing w:after="120" w:line="480" w:lineRule="auto"/>
      </w:pPr>
      <w:r>
        <w:rPr>
          <w:rFonts w:ascii="Times New Roman" w:hAnsi="Times New Roman"/>
          <w:i w:val="0"/>
          <w:sz w:val="24"/>
        </w:rPr>
        <w:t>Five ageing instruments were assembled from published GWAS: GrimAge acceleration (5 SNPs), Hannum (56), IEAA (133), PhenoAge (89) and a frailty index (66–71 by outcome), clumped at r² &lt; 0.001, all mean F &gt; 10; plus a composite haematological type-2 index (93 selection SNPs; the number entering each analysis varies with outcome-side allele-aware harmonisation and is reported per table, e.g. 88 SNPs in the FinnGen R12 two-sample MR, 101 in the Pan-UK Biobank type-2-spectrum MR, 94 in the Steiger audit, and 73/15 for the eosinophil-free/eosinophil-only decompositions; outcome-informed component selection, whose selection (winner's-curse) bias is acknowledged[16]). Two-sample MR used IVW primarily with MR-Egger, weighted median, MR-PRESSO and MR-RAPS sensitivity[17][18][19][20], Steiger directionality filtering throughout, and FDR &lt; 0.05 across the 15 discovery pairs. Reverse MR instrumented the three outcomes against blood-cell-trait principal components. Discovery used FinnGen R12[21][22]; replication used independent non-FinnGen GWAS (Han, TAGC, Neale, Budu-Aggrey)[23][24] with fixed-effect and DerSimonian-Laird meta-analysis. Multivariable MR adjusted for BMI, smoking initiation and education; instrument-content sensitivity removed canonical immune loci (± 1 Mb) and rebuilt a 13-SNP non-HLA instrument.</w:t>
      </w:r>
    </w:p>
    <w:p>
      <w:pPr>
        <w:pStyle w:val="Heading2"/>
      </w:pPr>
      <w:r>
        <w:rPr>
          <w:rFonts w:ascii="Times New Roman" w:hAnsi="Times New Roman"/>
          <w:color w:val="000000"/>
        </w:rPr>
        <w:t>2.3 Genetic correlation, contrasts and the coupling map</w:t>
      </w:r>
    </w:p>
    <w:p>
      <w:pPr>
        <w:spacing w:after="120" w:line="480" w:lineRule="auto"/>
      </w:pPr>
      <w:r>
        <w:rPr>
          <w:rFonts w:ascii="Times New Roman" w:hAnsi="Times New Roman"/>
          <w:i w:val="0"/>
          <w:sz w:val="24"/>
        </w:rPr>
        <w:t>MHC-free genetic correlations used three implementations, an in-house engine (simulation-calibrated, benchmarked against published estimates), an independent Python-3 engine, and canonical Bulik-Sullivan ldsc v1.0.1[25] (HapMap3, MHC-free weights, --not-M-5-50), with formal frailty-versus-clock rg contrasts (12 pairs, BH-FDR, two covariance calibres). The outcome-wide coupling map covers 5 instruments × 17 FinnGen endpoints (85 tests, BH-FDR) under the canonical engine.</w:t>
      </w:r>
    </w:p>
    <w:p>
      <w:pPr>
        <w:pStyle w:val="Heading2"/>
      </w:pPr>
      <w:r>
        <w:rPr>
          <w:rFonts w:ascii="Times New Roman" w:hAnsi="Times New Roman"/>
          <w:color w:val="000000"/>
        </w:rPr>
        <w:t>2.4 NHANES: validation, set-point model and target-trial emulation</w:t>
      </w:r>
    </w:p>
    <w:p>
      <w:pPr>
        <w:spacing w:after="120" w:line="480" w:lineRule="auto"/>
      </w:pPr>
      <w:r>
        <w:rPr>
          <w:rFonts w:ascii="Times New Roman" w:hAnsi="Times New Roman"/>
          <w:i w:val="0"/>
          <w:sz w:val="24"/>
        </w:rPr>
        <w:t>NHANES cycles D (2005–2006) and J (2017–2018) yielded 14,878[26][27] analysis-eligible participants in total; the cycle-specific analytic subsets were J for allergic outcomes (n = 7,021; 1,092 events) and D for IgE (n = 7,854); the pooled eligible total is not the arithmetic sum of these two outcome-specific subsets (Table 1 footnote), and the model-specific complete-case sets were smaller (set-point drift model n = 9,360; no-CRP sensitivity n = 9,510; target-trial emulation n = 4,403), each reported with its analysis; the participant flow is shown in Supplementary Fig. 1. Survey-weighted logistic models estimated per-SD odds ratios; pre-specified secondary analyses covered age interactions, age strata, IgE biomarkers, hinge models and mortality. The set-point model X = S(age) + ε, S(age) = S0 + β·(age−50)/10, λ(age) = λ0·e^(−δ·(age−50)/10) was fitted per cycle and pooled (strata/PSU clustering), with weighted-AIC shape comparison (linear/quadratic/hinge), a 300-replicate cluster bootstrap for knot location, residual-dispersion damping tests, and gain-invariance tests including log-IgE and high-IgE strata; minimal detectable interaction effects were computed at 80% power. The index was z standardized within each cycle (level comparisons across cycles therefore compare survey-weighted distributions, not absolute levels); CRP was measured by a conventional assay in cycle D and a high-sensitivity assay in cycle J, and a pre-specified no-CRP sensitivity (DRIFT02, Supplementary Table 121) re-estimated all period contrasts without the CRP component and decomposed the period × age interaction across index components. Because cross-sectional age gradients confound birth cohorts, a pre-specified decomposition (DRIFT01, Supplementary Table 120) tested the period level shift at the same age, the period × age interaction, a continuous birth-cohort main effect and its age interaction (birth year = survey-year midpoint − age), and same-age cross-cohort level differences across five age bands. The target trial emulated high- versus low-index assignment with stabilized IPTW (age, sex, BMI, smoking, race/ethnicity, family income-to-poverty ratio), survey weights and PSU clustering, reporting E-values and per-SD sensitivity.</w:t>
      </w:r>
    </w:p>
    <w:p>
      <w:pPr>
        <w:pStyle w:val="Heading2"/>
      </w:pPr>
      <w:r>
        <w:rPr>
          <w:rFonts w:ascii="Times New Roman" w:hAnsi="Times New Roman"/>
          <w:color w:val="000000"/>
        </w:rPr>
        <w:t>2.5 HRS longitudinal analyses</w:t>
      </w:r>
    </w:p>
    <w:p>
      <w:pPr>
        <w:spacing w:after="120" w:line="480" w:lineRule="auto"/>
      </w:pPr>
      <w:r>
        <w:rPr>
          <w:rFonts w:ascii="Times New Roman" w:hAnsi="Times New Roman"/>
          <w:i w:val="0"/>
          <w:sz w:val="24"/>
        </w:rPr>
        <w:t>In 45,234 HRS participants (723,744 person-waves)[28], a deficit-accumulation index was tracked against mortality and incident chronic disease (time-fixed and time-varying models), and early-warning signals (within-person variance, lag-1 autocorrelation) were tested against approaching death. HRS contains no allergy outcomes or genotypes; it validates the clinical trajectory of the frailty construct only.</w:t>
      </w:r>
    </w:p>
    <w:p>
      <w:pPr>
        <w:pStyle w:val="Heading2"/>
      </w:pPr>
      <w:r>
        <w:rPr>
          <w:rFonts w:ascii="Times New Roman" w:hAnsi="Times New Roman"/>
          <w:color w:val="000000"/>
        </w:rPr>
        <w:t>2.6 Mechanism: 5q31, cell-type MR, methylome, single-cell</w:t>
      </w:r>
    </w:p>
    <w:p>
      <w:pPr>
        <w:spacing w:after="120" w:line="480" w:lineRule="auto"/>
      </w:pPr>
      <w:r>
        <w:rPr>
          <w:rFonts w:ascii="Times New Roman" w:hAnsi="Times New Roman"/>
          <w:i w:val="0"/>
          <w:sz w:val="24"/>
        </w:rPr>
        <w:t>Bayesian colocalization at 5q31[29][30] (RAD50–IL13–IL4–IL5) contrasted whole-blood (eQTLGen) and DICE cell-type cis-eQTLs[31][32] against the three outcomes, with conditional multi-signal follow-up, shadow masking, SMR/HEIDI[33], colocalization under a baseline prior (p1 = p2 = 1×10⁻⁴, p12 = 1×10⁻⁵) with prior sweeps and allelic-direction analysis. Cell-type MR ran 97 powered DICE tests (FDR &lt; 0.05). Methylome overlap of ageing- and allergy-associated CpGs was tested genome-wide and in blood (permutation, Fisher exact). The Tabula Sapiens 2.0 Immune (592,317 cells; 24 donors)[34][35] and Lung (65,847 cells) atlases were analysed with the donor as inferential unit under pre-declared families (five-test Treg; four-test translational) and a pre-specified ambient-RNA falsification. OneK1K served as an independent-instrument layer[36][37].</w:t>
      </w:r>
    </w:p>
    <w:p>
      <w:pPr>
        <w:pStyle w:val="Heading2"/>
      </w:pPr>
      <w:r>
        <w:rPr>
          <w:rFonts w:ascii="Times New Roman" w:hAnsi="Times New Roman"/>
          <w:color w:val="000000"/>
        </w:rPr>
        <w:t>2.7 Proteome MR, triangulation, safety and pharmacovigilance</w:t>
      </w:r>
    </w:p>
    <w:p>
      <w:pPr>
        <w:spacing w:after="120" w:line="480" w:lineRule="auto"/>
      </w:pPr>
      <w:r>
        <w:rPr>
          <w:rFonts w:ascii="Times New Roman" w:hAnsi="Times New Roman"/>
          <w:i w:val="0"/>
          <w:sz w:val="24"/>
        </w:rPr>
        <w:t>cis-pQTL instruments (inflammatory-protein meta-analysis[38]; all F &gt; 10) were screened against the three outcomes (FDR &lt; 0.1), requiring colocalization PP.H4 &gt; 0.8, with positive and negative controls. The pQTL exposure cohorts overlap FinnGen R12 at most marginally (declared in the Supplementary Information), and the cross-platform replication shares the same three cis instruments throughout. IL18 and TNFSF14 were replicated across SCALLOP, Luminex and HELIC/AGES/INTERVAL platforms[39][40][41][42] (per-SNP Wald, fixed-effect IVW, cross-platform meta-analysis). A targeted safety scan covered ten non-allergic endpoints. Gene-level triangulation combined cis-eQTL MR, approximate colocalization, PRISM viability and ChEMBL mechanisms. Pharmacovigilance computed reporting odds ratios for anti-type-2 biologics across FAERS and Canada Vigilance.</w:t>
      </w:r>
    </w:p>
    <w:p>
      <w:pPr>
        <w:pStyle w:val="Heading2"/>
      </w:pPr>
      <w:r>
        <w:rPr>
          <w:rFonts w:ascii="Times New Roman" w:hAnsi="Times New Roman"/>
          <w:color w:val="000000"/>
        </w:rPr>
        <w:t>2.8 Knowledge-base and pharmacological integration</w:t>
      </w:r>
    </w:p>
    <w:p>
      <w:pPr>
        <w:spacing w:after="120" w:line="480" w:lineRule="auto"/>
      </w:pPr>
      <w:r>
        <w:rPr>
          <w:rFonts w:ascii="Times New Roman" w:hAnsi="Times New Roman"/>
          <w:i w:val="0"/>
          <w:sz w:val="24"/>
        </w:rPr>
        <w:t>The 17-gene type-2/alarmin panel (IL4, IL5, IL13, TSLP, IL33, IL18, TNFSF14, RORC, IL6, TNF, GATA3, STAT6, IL1R1, IL1RL1, IL5RA, IL25, IL17RB; the panel is defined in KB01, Supplementary Table 162) was tested for enrichment among 500 curated human ageing genes (Aging Atlas; hallmark-stratified). LINCS L1000 connectivity was computed for ageing (curated senescence + SASP union) and alarmin (IL33, IL25, IL4, IL5, IL13) signatures. The geroprotector triple filter required curated geroprotective evidence, significant ageing-signature suppression (q &lt; 0.1, z &lt; 0), and no alarmin upregulation. ATP-axis cis-eQTL MR (P2RX7, NLRP3, CASP1, GSDMD, IL1B) used eQTLGen whole blood (Z-standardized effects; 1000 Genomes EUR clumping, r² &lt; 0.1, F ≥ 10), Wakefield-ABF colocalization, leave-one-instrument-out diagnostics, and a GTEx v8 EUR lung sensitivity[43].</w:t>
      </w:r>
    </w:p>
    <w:p>
      <w:pPr>
        <w:pStyle w:val="Heading2"/>
      </w:pPr>
      <w:r>
        <w:rPr>
          <w:rFonts w:ascii="Times New Roman" w:hAnsi="Times New Roman"/>
          <w:color w:val="000000"/>
        </w:rPr>
        <w:t>2.9 Multiple testing and statistical families</w:t>
      </w:r>
    </w:p>
    <w:p>
      <w:pPr>
        <w:spacing w:after="120" w:line="480" w:lineRule="auto"/>
      </w:pPr>
      <w:r>
        <w:rPr>
          <w:rFonts w:ascii="Times New Roman" w:hAnsi="Times New Roman"/>
          <w:i w:val="0"/>
          <w:sz w:val="24"/>
        </w:rPr>
        <w:t>Statistical families were pre-declared and controlled within family by Benjamini-Hochberg FDR. (i) Discovery two-sample MR: 15 instrument-outcome pairs (5 instruments x 3 outcomes), FDR &lt; 0.05. (ii) Genetic-correlation contrasts: 12 frailty-versus-clock contrasts (4 clocks x 3 outcomes). (iii) Outcome-wide coupling map: 85 tests (5 instruments x 17 endpoints), FDR &lt; 0.05. (iv) Cell-type MR: 97 powered DICE tests. (v) cis-pQTL screen: inflammatory proteins against three outcomes, FDR &lt; 0.1, with colocalization PP.H4 &gt; 0.8 required. (vi) ATP-axis cis-eQTL MR: 15 tests (5 genes x 3 outcomes). (vii) Regulatory-T-cell single-cell family: five tests (IL4 primary; IL13, GATA3, FOXP3, IL5 context). (viii) Translational single-cell family: four tests (IL18, TNFSF14 x two compartments). (ix) Pharmacological (LINCS/PRISM) families: FDR within signature. Results not surviving family control are labelled nominal (P &lt; 0.05) or hypothesis-generating elsewhere in the text.</w:t>
      </w:r>
    </w:p>
    <w:p>
      <w:pPr>
        <w:pStyle w:val="Heading1"/>
      </w:pPr>
      <w:r>
        <w:rPr>
          <w:rFonts w:ascii="Times New Roman" w:hAnsi="Times New Roman"/>
          <w:color w:val="000000"/>
        </w:rPr>
        <w:t>3. Results</w:t>
      </w:r>
    </w:p>
    <w:p>
      <w:pPr>
        <w:pStyle w:val="Heading2"/>
      </w:pPr>
      <w:r>
        <w:rPr>
          <w:rFonts w:ascii="Times New Roman" w:hAnsi="Times New Roman"/>
          <w:color w:val="000000"/>
        </w:rPr>
        <w:t>3.1 Adjudication: a functional dimension, not the clocks, tracks allergy</w:t>
      </w:r>
    </w:p>
    <w:p>
      <w:pPr>
        <w:spacing w:after="120" w:line="480" w:lineRule="auto"/>
      </w:pPr>
      <w:r>
        <w:rPr>
          <w:rFonts w:ascii="Times New Roman" w:hAnsi="Times New Roman"/>
          <w:i w:val="0"/>
          <w:sz w:val="24"/>
        </w:rPr>
        <w:t>No outcome met path A; all were adjudicated path C, narrowing the association to the functional dimension. The frailty instrument was uniformly positive, asthma OR 3.44 per SD (z = 14.6, P = 3.5 × 10⁻⁴⁸), atopic dermatitis OR 1.46 (P = 3.2 × 10⁻¹²), rhinitis OR 1.69 (P = 2.2 × 10⁻¹²), robust across the estimator battery and MR-RAPS (Figure 1a; Table 2). The four clocks were weak and directionally split[1][2][3], GrimAge (OR 1.12) and Hannum (1.02) weakly positive, but IEAA significantly *protective* for asthma in both discovery and replication (OR 0.986, P = 3.2 × 10⁻⁵; meta OR 0.990, P = 5.9 × 10⁻⁵; Supplementary Table 1, Supplementary Table 58) and PhenoAge protective in discovery (OR 0.945) though attenuating in the replication meta (P = 0.081); because clock instruments are underpowered for small effects, this adjudicates asymmetry across dimensions, not absence of clock effects. The composite index showed concordant, smaller effects (asthma OR 2.32; atopic dermatitis 1.90; rhinitis 1.62; discovery two-sample MR; the phenome-wide scan in §3.3 reports marginally different composite estimates of 2.34, 1.88 and 1.63 from a different outcome-side SNP set). Because the frailty instrument is HLA dominated (82% of its genome-wide-significant SNPs in the HLA window), it carries direction only; magnitude claims attach to the composite. A per-SNP Steiger audit (Supplementary Table 135) shows that this magnitude-carrying composite is also the least directionally resolvable (only 37% of its SNPs explain more variance in the index than in asthma; 19 Steiger-significant SNPs point in the wrong direction versus 3 correct, binomial P = 0.017), the expected signature of blood-cell SNPs resident in allergy loci; the *direction* of the dimension effect therefore rests on the MHC-free genetic correlation (3.1) and the non-HLA instrument (below), not on the composite's individual SNPs. Supporting data: Supplementary Tables ST1-ST13, ST57-ST65, ST76-ST79, ST103, ST117, ST125-ST126, ST131, ST134-ST138.</w:t>
      </w:r>
    </w:p>
    <w:p>
      <w:pPr>
        <w:spacing w:after="120" w:line="480" w:lineRule="auto"/>
      </w:pPr>
      <w:r>
        <w:rPr>
          <w:rFonts w:ascii="Times New Roman" w:hAnsi="Times New Roman"/>
          <w:i w:val="0"/>
          <w:sz w:val="24"/>
        </w:rPr>
        <w:t>Independent replication established direction and robustness: asthma (Han OR 2.25; TAGC 1.58; Neale 1.08; meta OR 2.39, I² = 90%), rhinitis (Neale 1.15; random-effects P = 0.087, I² = 96%), atopic dermatitis (Budu-Aggrey 2.66; meta 1.97, P = 0.024). Multivariable MR preserved the frailty effect (asthma OR 2.68, P = 1.9 × 10⁻⁹; atopic dermatitis 1.79, P = 8.9 × 10⁻⁸); removing every canonical immune locus left estimates unchanged (3.43 vs 3.44); and a 13-SNP non-HLA instrument retained the association across cohorts (FinnGen asthma OR 3.85; Pan-UK Biobank 2.38). Reverse effects were uniformly small (largest OR 1.024, ~ninefold smaller than forward on the log scale, descriptive). Two further ageing exposures (telomere length, longevity) reproduced no concordant signal, and an external non-HLA healthspan instrument was nominally direction-protective for asthma only (Supplementary Table 132), a third independent exposure bounding the dimension-specificity claim.</w:t>
      </w:r>
    </w:p>
    <w:p>
      <w:pPr>
        <w:spacing w:after="120" w:line="480" w:lineRule="auto"/>
      </w:pPr>
      <w:r>
        <w:rPr>
          <w:rFonts w:ascii="Times New Roman" w:hAnsi="Times New Roman"/>
          <w:i w:val="0"/>
          <w:sz w:val="24"/>
        </w:rPr>
        <w:t>Genome-wide, MHC-free genetic correlation gave strong frailty correlations[44][45] (in-house: asthma rg 0.458, SE 0.038; rhinitis 0.353, SE 0.046; atopic dermatitis 0.250, SE 0.033; all q &lt; 10⁻¹³; canonical: 0.467, 0.361, 0.246) versus predominantly null clock correlations, reproduced by an independent Python-3 engine and by canonical ldsc (median absolute difference 0.025), with MHC-included references shifting frailty rg by only 0.019–0.033. Formal contrasts confirmed the frailty correlation exceeded every clock correlation for asthma (differences 0.29–0.38; q ≤ 4.3 × 10⁻⁴) and rhinitis (0.32–0.40; q ≤ 1.4 × 10⁻³), reproduced under the canonical engine; the atopic-dermatitis contrast is convention dependent and reported as unresolved.</w:t>
      </w:r>
    </w:p>
    <w:p>
      <w:pPr>
        <w:pStyle w:val="Heading2"/>
      </w:pPr>
      <w:r>
        <w:rPr>
          <w:rFonts w:ascii="Times New Roman" w:hAnsi="Times New Roman"/>
          <w:color w:val="000000"/>
        </w:rPr>
        <w:t>3.2 The coupling law, mapped: 85 tests with clean boundaries</w:t>
      </w:r>
    </w:p>
    <w:p>
      <w:pPr>
        <w:spacing w:after="120" w:line="480" w:lineRule="auto"/>
      </w:pPr>
      <w:r>
        <w:rPr>
          <w:rFonts w:ascii="Times New Roman" w:hAnsi="Times New Roman"/>
          <w:i w:val="0"/>
          <w:sz w:val="24"/>
        </w:rPr>
        <w:t>The outcome-wide coupling map (Figure 2a) generalized the adjudication: the frailty instrument coupled to 12 of 17 endpoints at FDR q &lt; 0.05, strongest in the asthma spectrum (asthma-NAS rg 0.637; asthma 0.467; rhinitis 0.361; chronic rhinosinusitis 0.154), extending to depression (0.548), pneumonia (0.431), myocardial infarction (0.395), sepsis (0.376), rheumatoid arthritis (0.374), psoriasis (0.292), atopic dermatitis (0.246) and femoral fracture (0.133), with sharp boundaries: type-1 diabetes, food allergy, ulcerative colitis, drug-induced anaphylaxis and dementia all null. The clocks were nearly silent on the three primary allergic endpoints (Hannum and IEAA null throughout; GrimAge and PhenoAge reached FDR significance only for the asthma-nasal-polyp endpoint, rg 0.209 and 0.212, q = 0.012 and 0.009; GrimAge additionally coupled to pneumonia, rg 0.413; note that GrimAge's correlation with asthma itself is significant in the 15-test discovery family (rg 0.17, q = 0.034) but not in this 85-test coupling family (q = 0.052), and we treat the 85-test family as primary for the coupling map while reporting the discrepancy explicitly): clocks index a real but differently coupled dimension, and allergic susceptibility does not live in it. One caveat protects the map from its own logic: for endpoints that share deficit content with the frailty measure itself (e.g., depression, femoral fracture), part of the correlation may reflect construct overlap rather than purely shared genetic architecture; the allergy conclusions rest on endpoints with no such overlap. Supporting data: Supplementary Tables ST119.</w:t>
      </w:r>
    </w:p>
    <w:p>
      <w:pPr>
        <w:pStyle w:val="Heading2"/>
      </w:pPr>
      <w:r>
        <w:rPr>
          <w:rFonts w:ascii="Times New Roman" w:hAnsi="Times New Roman"/>
          <w:color w:val="000000"/>
        </w:rPr>
        <w:t>3.3 Adult-onset preference and phenome specificity</w:t>
      </w:r>
    </w:p>
    <w:p>
      <w:pPr>
        <w:spacing w:after="120" w:line="480" w:lineRule="auto"/>
      </w:pPr>
      <w:r>
        <w:rPr>
          <w:rFonts w:ascii="Times New Roman" w:hAnsi="Times New Roman"/>
          <w:i w:val="0"/>
          <w:sz w:val="24"/>
        </w:rPr>
        <w:t>On onset-stratified asthma genetics, the frailty dimension shared more than twice as much architecture with adult-onset as with childhood-onset disease (rg 0.487 vs 0.209; conservative contrast z = 5.83, P = 5.7 × 10⁻⁹); clocks were null. The contrast is not attributable to power asymmetry: the childhood-onset GWAS is not underpowered (h² 0.0669, z = 6.9, mean χ² 1.45; adult-onset h² 0.0392, z = 11.4, mean χ² 1.28; childhood h² is in fact higher), so the adult preference reflects genuinely differential architecture[46] (Figure 1h; ONSET01, Supplementary Table 118). In the 17-endpoint phenome scan, the composite index was specific to allergic endpoints (asthma OR 2.34, q = 7.7 × 10⁻⁵; atopic dermatitis 1.88; rhinitis 1.63; asthma-nasal polyp 2.00, q = 8.6 × 10⁻⁸) with a single inverse association (myocardial infarction) and nulls elsewhere, whereas the frailty instrument showed implausible HLA-driven magnitudes at autoimmune endpoints (outlier-sensitive), confirming that its interpretable content is dimensional, not endpoint-specific (Supplementary Fig. 2-3). In independent UK Biobank endpoints the index associated with asthma (OR 2.78) and rhinitis (OR 1.58) and was null for urticaria and non-type-2 controls. In Biobank Japan, the rebuilt index was direction consistent[47] for asthma (β = 0.38, q = 0.048) and rhinitis (β = 0.52, q = 0.040) but estimator-sensitive; the atopic-dermatitis arm was direction discordant and formally non-adjudicable (below the cross-population heritability threshold). Supporting data: Supplementary Tables ST74-ST75, ST80-ST82, ST94-ST98, ST107-ST111, ST118, ST130, ST132.</w:t>
      </w:r>
    </w:p>
    <w:p>
      <w:pPr>
        <w:pStyle w:val="Heading2"/>
      </w:pPr>
      <w:r>
        <w:rPr>
          <w:rFonts w:ascii="Times New Roman" w:hAnsi="Times New Roman"/>
          <w:color w:val="000000"/>
        </w:rPr>
        <w:t>3.4 The set-point: age-invariant risk on a level that drifts 0.074 SD per decade</w:t>
      </w:r>
    </w:p>
    <w:p>
      <w:pPr>
        <w:spacing w:after="120" w:line="480" w:lineRule="auto"/>
      </w:pPr>
      <w:r>
        <w:rPr>
          <w:rFonts w:ascii="Times New Roman" w:hAnsi="Times New Roman"/>
          <w:i w:val="0"/>
          <w:sz w:val="24"/>
        </w:rPr>
        <w:t>The composite index is a drifting functional set-point (Figure 3a; Table 3). In NHANES it predicted prevalent allergic outcomes (Figure 4a; OR 1.42 per SD; 1.76 per unit; 1.43 in stratum-fixed-effects), with weighting shifting estimates by +8.5% (below the pre-specified 30% materiality threshold), and it predicted objective IgE biomarkers[48] (Figure 4e; total IgE β = 0.310; high IgE OR 1.53; any specific IgE OR 1.39). The component decomposition qualifies this objective layer (Supplementary Table 124): the IgE signal is carried by the eosinophil component (eosinophil-only index: log-IgE β = 0.351, P = 6 × 10⁻²⁵; high-IgE OR 1.53), whereas the eosinophil-free index is null for IgE (β = 0.005, P = 0.88; high-IgE OR 1.04), the objective-IgE validation therefore confirms the construct validity of the full type-2 index rather than eosinophil-independence. The age-by-index interaction was null with adequate power (P = 0.394; 80% power for a 40-year OR ratio ≥ 1.134). Formalized as an Ornstein-Uhlenbeck homeostat[49] (Supplementary Fig. 4), the set-point level drifted upward at 0.074 SD per decade (95% CI 0.060–0.088, P = 1.2 × 10⁻²⁵), reproduced in both survey cycles (D 0.056; J 0.089; the two cycles differ descriptively, as expected under period/cohort composition), robust to BMI adjustment (0.066); drift was near linear with a mild late acceleration (hinge ΔAIC = 18.3; knot median 55 years, IQR 55–60, boundary rate 0.04; slope 0.039 → 0.137 SD per decade, ≈3.5-fold, increment P = 7.2 × 10⁻⁴) and no plateau. Damping was intact: residual dispersion did not rise with age (δ = 0.000, P = 0.99; hinge-residual confirmation all P ≥ 0.10); a U-shaped dispersion profile (Brown-Forsythe P = 0.007) is reported without a resilience claim, and the critical-slowing signature documented in HRS decedents is explicitly not visible in cross-sectional adult dispersion. Gain invariance extended to the objective layer: no age interaction for log-IgE (P = 0.14) and a nominally reverse interaction in the high-IgE stratum (β = −0.062, P = 0.021). Supporting data: Supplementary Tables ST14-ST21, ST70-ST73, ST112, ST120-ST121, ST124, ST153-ST155, ST17b, ST154b.</w:t>
      </w:r>
    </w:p>
    <w:p>
      <w:pPr>
        <w:spacing w:after="120" w:line="480" w:lineRule="auto"/>
      </w:pPr>
      <w:r>
        <w:rPr>
          <w:rFonts w:ascii="Times New Roman" w:hAnsi="Times New Roman"/>
          <w:i w:val="0"/>
          <w:sz w:val="24"/>
        </w:rPr>
        <w:t>Because cross-sectional age gradients confound birth cohorts, we decomposed period and cohort effects directly (Figure 3; DRIFT01, Supplementary Table 120). There was no period level shift at the same age (cycle J vs D: β = 0.017, P = 0.60), and same-age cross-cohort level differences were small and unsystematic across five age bands (≤0.04 SD in four bands; the oldest band, 65–75, differed by +0.18 SD with the later-born cohort higher, the direction opposite to a cohort-inflated age gradient). The drift rate was steeper in the later period (interaction 0.033, P = 0.012), again inconsistent with an early-born-high-value artefact. With continuous birth-cohort main and interaction terms adjusted, the age drift was 0.070 SD per decade (95% CI 0.050–0.090, P = 9.2 × 10⁻¹²), attenuating the unadjusted estimate by only ~5%. Two cycles twelve years apart cannot fully separate age, period and cohort, but every decomposition direction argues against cohort inflation of the drift. A pre-specified assay-robustness check (DRIFT02, Supplementary Table 121) addressed the one remaining measurement caveat, cycle D used conventional CRP and cycle J high-sensitivity CRP: on the no-CRP index the steeper-in-J interaction persisted (0.041, P = 0.002), and component decomposition showed the interaction is carried by blood-count components (total WBC +0.037, P = 3.6 × 10⁻⁴; eosinophils +0.027; lymphocytes −0.027) while the CRP component itself runs in the opposite direction (−0.052, P = 4.4 × 10⁻⁴), the period slope difference is therefore not an assay artefact, and the no-CRP pooled drift (0.069 SD per decade) matches the primary estimate.</w:t>
      </w:r>
    </w:p>
    <w:p>
      <w:pPr>
        <w:pStyle w:val="Heading2"/>
      </w:pPr>
      <w:r>
        <w:rPr>
          <w:rFonts w:ascii="Times New Roman" w:hAnsi="Times New Roman"/>
          <w:color w:val="000000"/>
        </w:rPr>
        <w:t>3.5 Drift decomposition: a pan-haematological myeloid skew</w:t>
      </w:r>
    </w:p>
    <w:p>
      <w:pPr>
        <w:spacing w:after="120" w:line="480" w:lineRule="auto"/>
      </w:pPr>
      <w:r>
        <w:rPr>
          <w:rFonts w:ascii="Times New Roman" w:hAnsi="Times New Roman"/>
          <w:i w:val="0"/>
          <w:sz w:val="24"/>
        </w:rPr>
        <w:t>The drift is not allergy-specific (Figure 3f; Supplementary Fig. 5). Lymphocyte fraction fell (−0.077 SD/decade, P = 7.0 × 10⁻²⁷), monocyte fraction rose (+0.081, P = 4.7 × 10⁻²⁴), total WBC was near-null (−0.013 SD/decade, P = 0.013), the textbook myeloid-skew signature of haematological ageing, and eosinophil-only and neutrophil-only indices drifted comparably (0.039, P = 1.8 × 10⁻⁸ vs 0.044, P = 8.8 × 10⁻¹⁰), with an equal-weight index reproducing the drift (0.068). The type-2 specificity of the composite therefore resides in its allergic-risk gain, not in the drift itself. Construct-overlap controls converged for self-reported allergy but not for objective IgE: an eosinophil-free index retained the self-reported association (OR 1.63, P = 3.7 × 10⁻¹⁷) while eosinophil percentage alone did not (OR 1.07, P = 0.12), yet the same eosinophil-free index was null for IgE (β = 0.005, P = 0.88; Supplementary Table 124). The self-reported association is therefore type-2-generic, whereas the objective-IgE association is eosinophil carried, two endpoints probing different components rather than a single eosinophil-independent gain. At the genetic layer, removing eosinophil-percentage SNPs retained atopic dermatitis (OR 2.02, P = 2.0 × 10⁻⁹) but attenuated asthma (cohort-dependent: FinnGen OR 1.42, random-effects P = 0.45; Pan-UK Biobank OR 1.86, P = 1.7 × 10⁻⁷) and nulled rhinitis (OR 0.80; replicated null in Pan-UK Biobank), the eosinophil-carrying reading holds for rhinitis, atopic dermatitis retains a non-eosinophil component, and the asthma attribution remains unresolved. Supporting data: Supplementary Tables ST89, ST124, ST133, ST136, ST156.</w:t>
      </w:r>
    </w:p>
    <w:p>
      <w:pPr>
        <w:pStyle w:val="Heading2"/>
      </w:pPr>
      <w:r>
        <w:rPr>
          <w:rFonts w:ascii="Times New Roman" w:hAnsi="Times New Roman"/>
          <w:color w:val="000000"/>
        </w:rPr>
        <w:t>3.6 Emulating a trial and bounding confounding</w:t>
      </w:r>
    </w:p>
    <w:p>
      <w:pPr>
        <w:spacing w:after="120" w:line="480" w:lineRule="auto"/>
      </w:pPr>
      <w:r>
        <w:rPr>
          <w:rFonts w:ascii="Times New Roman" w:hAnsi="Times New Roman"/>
          <w:i w:val="0"/>
          <w:sz w:val="24"/>
        </w:rPr>
        <w:t>The target-trial emulation reproduced the survey association under a causal-inference design (Figure 4g; Supplementary Fig. 6): high versus low index gave OR 1.86 (income-adjusted primary; 1.90 without income; per-SD 1.45; E-value 2.66 on the prevalence-corrected risk-ratio scale, confidence limit 1.94; the odds ratio is converted to a risk ratio at the 15.6% outcome prevalence, Supplementary Table 146). The emulated outcome is the asthma-anchored allergic composite available in the merged extract; rhinitis- and AD-specific emulations were not performed. Smoking pack-years were unavailable; the estimate is bounded, not randomized. Drug-exposure subgroups (mTOR, methotrexate, JAK, IL-6 pathways; exposed n = 0–25) are reported as underpowered. Supporting data: Supplementary Tables ST146, ST152.</w:t>
      </w:r>
    </w:p>
    <w:p>
      <w:pPr>
        <w:pStyle w:val="Heading2"/>
      </w:pPr>
      <w:r>
        <w:rPr>
          <w:rFonts w:ascii="Times New Roman" w:hAnsi="Times New Roman"/>
          <w:color w:val="000000"/>
        </w:rPr>
        <w:t>3.7 Longitudinal trajectory of the frailty construct (HRS)</w:t>
      </w:r>
    </w:p>
    <w:p>
      <w:pPr>
        <w:spacing w:after="120" w:line="480" w:lineRule="auto"/>
      </w:pPr>
      <w:r>
        <w:rPr>
          <w:rFonts w:ascii="Times New Roman" w:hAnsi="Times New Roman"/>
          <w:i w:val="0"/>
          <w:sz w:val="24"/>
        </w:rPr>
        <w:t>In 45,234 HRS participants (Figure 4h; Supplementary Fig. 7) the deficit-accumulation index rose from 0.187 to 0.261 over follow-up and predicted mortality (HR 1.61 per SD; time-varying model 1.85) and incident chronic disease (HRs 1.16–1.77); early-warning signals (rising within-person variance and lag-1 autocorrelation) preceded death[49] and persisted under mean-index adjustment (the mortality analysis set comprised 36,528 participants with 18,276 deaths). HRS measures no allergy: this layer validates that the functional dimension is dynamic, prognostic, and shows end-of-life resilience loss, the same dimension whose genetic architecture carries allergic susceptibility. Supporting data: Supplementary Tables ST83-ST86, ST104-ST105.</w:t>
      </w:r>
    </w:p>
    <w:p>
      <w:pPr>
        <w:pStyle w:val="Heading2"/>
      </w:pPr>
      <w:r>
        <w:rPr>
          <w:rFonts w:ascii="Times New Roman" w:hAnsi="Times New Roman"/>
          <w:color w:val="000000"/>
        </w:rPr>
        <w:t>3.8 Mechanism I: the IL4 paradox resolves at 5q31, in a cell-type-specific way</w:t>
      </w:r>
    </w:p>
    <w:p>
      <w:pPr>
        <w:spacing w:after="120" w:line="480" w:lineRule="auto"/>
      </w:pPr>
      <w:r>
        <w:rPr>
          <w:rFonts w:ascii="Times New Roman" w:hAnsi="Times New Roman"/>
          <w:i w:val="0"/>
          <w:sz w:val="24"/>
        </w:rPr>
        <w:t>Whole-blood IL4 and allergic GWAS signals are driven by distinct variants (Figure 5a; Supplementary Fig. 8-9; PP.H3 ≈ 0.97–1.00 for all outcomes): the bulk signal is a linkage artefact, and the classic risk allele at rs2070874 lowers whole-blood IL4, a tissue-discordant effect not expected to be disease relevant. In naive regulatory T cells (DICE), IL4 colocalized[32] with atopic dermatitis (full-region PP.H4 = 0.92; multi-signal matched-pair 0.95) and, suggestively, with asthma (0.79; matched-pair 0.86; falls below 0.8 at the strictest prior), while the rhinitis signal was single-SNP driven and collapsed under masking. Cell-type MR across DICE compartments gave 33 of 97[32][50] powered tests at FDR &lt; 0.05: TSLP and IL5 expression increased risk across T-cell and NK compartments, and IL4 in naive regulatory T cells was protective (asthma OR 0.92; atopic dermatitis 0.88). An independent OneK1K-instrument analysis implicated an adjacent gene set[36][37] (TNF, IL6, GATA3, RORC) rather than corroborating the DICE pairs, the IL4 regulatory-T-cell reading therefore remains nomination grade. Methylome analysis showed ageing- and allergy-associated CpGs[48] anti-enriched genome-wide but enriched in blood (Fisher OR 1.71), with type-2 genes enriched 55-fold in the overlap: the axis is written into the allergic epigenome of circulating cells (cross-sectional, direction-unresolved). Supporting data: Supplementary Tables ST22-ST40, ST66-ST69, ST87-ST88, ST102, ST114-ST115, ST139b.</w:t>
      </w:r>
    </w:p>
    <w:p>
      <w:pPr>
        <w:pStyle w:val="Heading2"/>
      </w:pPr>
      <w:r>
        <w:rPr>
          <w:rFonts w:ascii="Times New Roman" w:hAnsi="Times New Roman"/>
          <w:color w:val="000000"/>
        </w:rPr>
        <w:t>3.9 Mechanism II: the single-cell layer, drifting Treg IL5, barrier-resident IL-18</w:t>
      </w:r>
    </w:p>
    <w:p>
      <w:pPr>
        <w:spacing w:after="120" w:line="480" w:lineRule="auto"/>
      </w:pPr>
      <w:r>
        <w:rPr>
          <w:rFonts w:ascii="Times New Roman" w:hAnsi="Times New Roman"/>
          <w:i w:val="0"/>
          <w:sz w:val="24"/>
        </w:rPr>
        <w:t>In the 24-donor immune atlas (Figure 6a[34][35]; Supplementary Fig. 10-12), regulatory-T-cell IL5 rose with donor age (equal-donor-weighted rate ratio 1.72 per decade, 95% CI 1.15–2.58, P = 0.025; leave-one-donor-out stable; nominal within the five-test family, q = 0.13); IL4 was directionally concordant but failed the pre-specified ambient-RNA falsification (plasma-cell proxy ρ = 0.59, P = 0.045; IL5 shows no such correlation, P = 0.11) and was downgraded. In the lung atlas (3 donors aged 59–61[51]; descriptive localization, not a population estimate; Supplementary Fig. 13-14), IL18 localized to alveolar macrophages (75%) and alveolar type-1 (71%), type-2 (55%) and basal (59%) epithelium, with IL33 confirming the basal-epithelial source (62%); after correction of a mis-mapped probe (documented erratum), true TSLP showed basal 15.4% / AT2 3.6%. Supporting data: Supplementary Tables ST90-ST93, ST116, ST116b, ST139-ST145.</w:t>
      </w:r>
    </w:p>
    <w:p>
      <w:pPr>
        <w:pStyle w:val="Heading2"/>
      </w:pPr>
      <w:r>
        <w:rPr>
          <w:rFonts w:ascii="Times New Roman" w:hAnsi="Times New Roman"/>
          <w:color w:val="000000"/>
        </w:rPr>
        <w:t>3.10 Translation I: IL18, assay-robust and safety-mapped</w:t>
      </w:r>
    </w:p>
    <w:p>
      <w:pPr>
        <w:spacing w:after="120" w:line="480" w:lineRule="auto"/>
      </w:pPr>
      <w:r>
        <w:rPr>
          <w:rFonts w:ascii="Times New Roman" w:hAnsi="Times New Roman"/>
          <w:i w:val="0"/>
          <w:sz w:val="24"/>
        </w:rPr>
        <w:t>Four cis-pQTL associations passed FDR &lt; 0.1 (all for atopic dermatitis; Figure 7a; Table 4); colocalization retained IL18 (PP.H4 = 0.968) and TNFSF14 (0.976) and rejected TNF and TRAIL as linkage artefacts. IL18 replicated across three platforms (SCALLOP OR 1.19, P = 7.0 × 10⁻⁹; Luminex 1.16, P = 7.8 × 10⁻⁹; HELIC 1.22, P = 1.1 × 10⁻⁸; pooled OR 1.19, 95% CI 1.15–1.23, P = 3.6 × 10⁻²³, I² = 0%), and is targetable by the IL-18-binding protein tadekinig alfa[52][53]. Replication is cross-cohort and cross-assay using the same three cis instruments throughout, so independence is at the assay/cohort level and not at the instrument level; the discovery meta-analysis[38] is the SCALLOP Consortium Olink study, and two of the nominal replication layers share its infrastructure (INTERVAL is a constituent cohort; SCALLOP is the same consortium), whereas HELIC, AGES and the Ahola-Olli Luminex cohort are separate resources (Supplementary Information); the pooled three-platform estimate therefore mixes partially overlapping and independent layers and is reported as cross-assay consistency rather than fully independent replication, and the target genetic evidence is anchored to the atopic-dermatitis (European) arm. TNFSF14 replicated in AGES SomaScan (OR 1.20)[41] but is single-instrument dependent (rs413141, 71% weight). The targeted safety scan associated genetically proxied IL18 with psoriasis and femur fracture, directionally concordant with its risk effect, predicting no adverse signal from IL18 blockade at the scanned endpoints, whereas TNFSF14's inverse septicaemia and fracture associations flag infection and bone health for surveillance. Molecular mediation (Supplementary Fig. 15) found no systemic circulating cascade, and a gene-burden lookup found the alarmin IL33 protective across all three diseases[54][55], an instructive split within the alarmin family itself: IL33 protective, IL18 risk, which is precisely the genetic counterpoint that makes IL18 the specific node rather than a generic alarmin effect. Pharmacovigilance gave cross-database-consistent infection signals[56][57] for mepolizumab, omalizumab and tezepelumab, no replicated malignancy signal, and an omalizumab-only immunosenescence flag reported for confounder-adjusted interpretation. Supporting data: Supplementary Tables ST41-ST56, ST99, ST101, ST106, ST113, ST127-ST129.</w:t>
      </w:r>
    </w:p>
    <w:p>
      <w:pPr>
        <w:pStyle w:val="Heading2"/>
      </w:pPr>
      <w:r>
        <w:rPr>
          <w:rFonts w:ascii="Times New Roman" w:hAnsi="Times New Roman"/>
          <w:color w:val="000000"/>
        </w:rPr>
        <w:t>3.11 Translation II: gene triangulation and the ATP-axis machinery map</w:t>
      </w:r>
    </w:p>
    <w:p>
      <w:pPr>
        <w:spacing w:after="120" w:line="480" w:lineRule="auto"/>
      </w:pPr>
      <w:r>
        <w:rPr>
          <w:rFonts w:ascii="Times New Roman" w:hAnsi="Times New Roman"/>
          <w:i w:val="0"/>
          <w:sz w:val="24"/>
        </w:rPr>
        <w:t>Gene-level triangulation assembled RORC[14] (cis-eQTL MR OR 0.66, P = 0.007; approximate PP.H4 0.96) and IL6 (OR 1.40, P = 0.044; PP.H4 0.90) with three independent evidence lines each (MR + colocalization + PRISM/ChEMBL), alongside IL4 (OR 0.58, P = 1.3 × 10⁻⁸, PP.H4 ≈ 1.0, nomination-grade). The ATP-axis machinery map completed the cellular picture (Figure 7g; Supplementary Fig. 16): the full IL-18 maturation chain co-localizes in lung macrophages (IL18 75.3%, CASP1 64.9%, GSDMD 47.0%, P2RX7 46.4%, IL1B 40.8%; NLRP3 7.6%, dropout-limited; three donors aged 59–61, descriptive localization), while epithelium holds IL18 with almost no machinery, a myeloid-produce, epithelial-store two-compartment model. The genetic boundary is recorded with equal clarity: cis-eQTL MR for all five machinery genes against the three endpoints (15 tests) yielded no MR-plus-colocalization pair (all PP.H4 ≤ 0.08); three nominal signals survived leave-one-instrument-out audits with robust directions (NLRP3 × asthma OR 1.11, P = 0.018, q = 0.088; GSDMD × rhinitis OR 0.87, q = 0.022, PP.H4 = 0.018, direction concordant in GTEx lung; IL1B × AD OR 1.49, q = 0.053, single-SNP-weighted), and a chain-level mirror pattern (asthma signal in the NLRP3–CASP1–IL1B maturation chain; rhinitis signal in the P2RX7/GSDMD sensor-pore end) is logged as observation only, a pre-specified sign test on the a priori-defined chains is not significant (P = 0.25 and 0.5), and reported strictly as a falsifiable prior for perturbation experiments, not as causal evidence. Supporting data: Supplementary Tables ST100, ST147-ST148, ST157-ST161.</w:t>
      </w:r>
    </w:p>
    <w:p>
      <w:pPr>
        <w:pStyle w:val="Heading2"/>
      </w:pPr>
      <w:r>
        <w:rPr>
          <w:rFonts w:ascii="Times New Roman" w:hAnsi="Times New Roman"/>
          <w:color w:val="000000"/>
        </w:rPr>
        <w:t>3.12 Translation III: knowledge convergence and the geroprotector reality map</w:t>
      </w:r>
    </w:p>
    <w:p>
      <w:pPr>
        <w:spacing w:after="120" w:line="480" w:lineRule="auto"/>
      </w:pPr>
      <w:r>
        <w:rPr>
          <w:rFonts w:ascii="Times New Roman" w:hAnsi="Times New Roman"/>
          <w:i w:val="0"/>
          <w:sz w:val="24"/>
        </w:rPr>
        <w:t>The 17-gene type-2/alarmin panel was 12-fold enriched among 500 curated human ageing genes (4/17: IL1R1, IL6, TNF, TNFSF14; OR 12.1, P = 7.1 × 10⁻⁴ against a ~20,018-gene protein-coding universe; NF-κB module, human n = 47, OR 59.1, P = 7.2 × 10⁻⁴), a third, expert-curated layer converging with the genetic and epigenomic layers, upgrading TNFSF14 to a dual allergy-ageing node. IL18 appears in no Aging Atlas module (KB01): the field's newest ageing-implicated node is not in the field's own catalogue. LINCS connectivity had shown senolytic-class compounds (dasatinib, ruxolitinib, tofacitinib, navitoclax, quercetin) suppressing an internal ageing signature (q ≤ 0.033) but none suppressing both signatures (mTOR inhibitors null on both; a previously reported mTOR-alarmin signal did not replicate and was formally retracted). The curated-signature triple filter sharpened this to a quantitative map (Figure 8a; GER01, Supplementary Table 122; Supplementary Fig. 9): of 52 geroprotective compounds matchable in LINCS, only metoprolol (z = −2.78, q = 0.022) and LY-294002 (z = −2.22, q = 0.068) suppress the curated ageing signature without amplifying the alarmin programme; quercetin fails the curated filter (z = −0.39, q = 0.76) despite suppressing the internal signature, documenting signature-definition dependence; the strongest connectivities are amplifications (geldanamycin +7.33; loratadine +6.85; resveratrol +5.54; trametinib +4.43; digoxin +4.20; all q &lt; 3 × 10⁻⁴). Three boundary statements keep this map honest: metoprolol rests on LINCS alone (absent from the PRISM nominations); LY-294002 is a tool compound, not a clinical drug; and the apparent tension between "no drug suppressed both (internal) signatures" and "two compounds pass the (curated) triple filter" is entirely a signature-definition difference, now tabulated side by side (GER02, Supplementary Table 123). Within the internal-definition screen, one compound stands out as the nearest single-molecule approximation of the combination logic: azithromycin suppresses both signatures in the same direction (ageing z = −2.17, marginal; alarmin z = −2.72, q = 0.024), hypothesis-generating, but with a well-known airway anti-inflammatory clinical background. The two positives define the combination logic rather than compete: metoprolol is the prioritizable geroprotector-class candidate, azithromycin the prioritizable anti-alarmin-class candidate. The panel membership and its enrichment are deposited with their source file (Figure 8f; KB01, Supplementary Table 162; Aging Atlas `gene_sets_all.csv`), for independent reproducibility. Supporting data: Supplementary Tables ST122-ST123, ST149-ST151, ST162.</w:t>
      </w:r>
    </w:p>
    <w:p>
      <w:pPr>
        <w:pStyle w:val="Heading1"/>
      </w:pPr>
      <w:r>
        <w:rPr>
          <w:rFonts w:ascii="Times New Roman" w:hAnsi="Times New Roman"/>
          <w:color w:val="000000"/>
        </w:rPr>
        <w:t>4. Discussion</w:t>
      </w:r>
    </w:p>
    <w:p>
      <w:pPr>
        <w:spacing w:after="120" w:line="480" w:lineRule="auto"/>
      </w:pPr>
      <w:r>
        <w:rPr>
          <w:rFonts w:ascii="Times New Roman" w:hAnsi="Times New Roman"/>
          <w:i w:val="0"/>
          <w:sz w:val="24"/>
        </w:rPr>
        <w:t xml:space="preserve">This study adjudicates a long-open question and then formalizes the answer. </w:t>
      </w:r>
      <w:r>
        <w:rPr>
          <w:rFonts w:ascii="Times New Roman" w:hAnsi="Times New Roman"/>
          <w:b/>
          <w:i w:val="0"/>
          <w:sz w:val="24"/>
        </w:rPr>
        <w:t>First, the dimension law</w:t>
      </w:r>
      <w:r>
        <w:rPr>
          <w:rFonts w:ascii="Times New Roman" w:hAnsi="Times New Roman"/>
          <w:i w:val="0"/>
          <w:sz w:val="24"/>
        </w:rPr>
        <w:t>: allergic susceptibility belongs to the functional (deficit-accumulation) dimension of ageing, not to molecular clocks. The result is adjudicated under a pre-specified tree [13] and reproduced by three LDSC implementations [25]. It is MHC-free by construction, extends across 85 coupling tests with explicit boundaries, and is sharpened by an adult-onset preference (rg 0.487 vs 0.209) that aligns the genetics with the clinical epidemiology of late-onset allergy [10][46]. The debate over whether epigenetic clocks are "useful" is recast as a partition[7][58]: clocks index a real, differently coupled dimension (pneumonia, mortality-adjacent biology[1][2][3]; and, for the asthma-nasal-polyp endpoint only, a weak allergic coupling); the allergy-relevant dimension is functional [4][5][50]. Any intervention cohort in which clock responses and haematological responses move in lock-step would falsify this partition.</w:t>
      </w:r>
    </w:p>
    <w:p>
      <w:pPr>
        <w:spacing w:after="120" w:line="480" w:lineRule="auto"/>
      </w:pPr>
      <w:r>
        <w:rPr>
          <w:rFonts w:ascii="Times New Roman" w:hAnsi="Times New Roman"/>
          <w:b/>
          <w:i w:val="0"/>
          <w:sz w:val="24"/>
        </w:rPr>
        <w:t>Second, the process model</w:t>
      </w:r>
      <w:r>
        <w:rPr>
          <w:rFonts w:ascii="Times New Roman" w:hAnsi="Times New Roman"/>
          <w:i w:val="0"/>
          <w:sz w:val="24"/>
        </w:rPr>
        <w:t>: allergic propensity is a regulated set-point. Its level drifts 0.074 SD per decade from early adulthood in cross-sectional data (0.070 after birth-cohort adjustment; no period level shift; steeper, not shallower, in the later period, each decomposition direction arguing against cohort inflation). It mildly accelerates after midlife, keeps its damping through adult life (resilience loss confined to end-of-life in HRS)[49][28], and carries an age-invariant risk gain that the full index confirms against objective IgE, an eosinophil-carried objective signal, whereas the self-reported association is additionally eosinophil-independent. Later-life allergy is therefore the cumulative read-out of a lifelong, blood-count-visible drift, not a late-onset transition. The model separates two easily conflated specificities: the drift is haematologically general (myeloid skew[59]; eosinophil and neutrophil components drift alike), while the allergic-risk gain is type-2 specific. Three registered predictions distinguish the model in incident data: within-person drift rate predicts incident allergy; early-warning dispersion signals precede onset; the gain re-estimates unchanged.</w:t>
      </w:r>
    </w:p>
    <w:p>
      <w:pPr>
        <w:spacing w:after="120" w:line="480" w:lineRule="auto"/>
      </w:pPr>
      <w:r>
        <w:rPr>
          <w:rFonts w:ascii="Times New Roman" w:hAnsi="Times New Roman"/>
          <w:b/>
          <w:i w:val="0"/>
          <w:sz w:val="24"/>
        </w:rPr>
        <w:t>Third, a translational node with mapped boundaries</w:t>
      </w:r>
      <w:r>
        <w:rPr>
          <w:rFonts w:ascii="Times New Roman" w:hAnsi="Times New Roman"/>
          <w:i w:val="0"/>
          <w:sz w:val="24"/>
        </w:rPr>
        <w:t>: IL18 is platform robust (meta OR 1.19) and barrier-resident[53][52][38]. It is framed mechanistically by a complete, compartmentalized ATP-inflammasome machinery, and it is absent from the curated Aging Atlas catalogue (KB01); that absence is the novelty the knowledge layer makes explicit. The honest negative, that the machinery's transcriptional regulation does not colocalize with allergy, redirects causal thinking from expression genetics to activation biology (ATP thresholds, inflammasome assembly) [52][53], precisely what organoid perturbation can test; the mirror-image nominal chains give those experiments a prior to falsify. IL18's safety map (directionally concordant off-targets) and druggability (tadekinig alfa) make it the lead node; TNFSF14 (dual allergy-ageing, but single-instrument-dependent[60], with infection and bone flags) is the cautious second.</w:t>
      </w:r>
    </w:p>
    <w:p>
      <w:pPr>
        <w:spacing w:after="120" w:line="480" w:lineRule="auto"/>
      </w:pPr>
      <w:r>
        <w:rPr>
          <w:rFonts w:ascii="Times New Roman" w:hAnsi="Times New Roman"/>
          <w:b/>
          <w:i w:val="0"/>
          <w:sz w:val="24"/>
        </w:rPr>
        <w:t>Fourth, a safety doctrine for the longevity era</w:t>
      </w:r>
      <w:r>
        <w:rPr>
          <w:rFonts w:ascii="Times New Roman" w:hAnsi="Times New Roman"/>
          <w:i w:val="0"/>
          <w:sz w:val="24"/>
        </w:rPr>
        <w:t>: geroprotection and barrier-immune homeostasis trade off measurably. Only two screened compounds clear both curated filters, metoprolol, the prioritizable geroprotector-class candidate (LINCS single-resource, pending independent confirmation), and the tool compound LY-294002, while the internal-definition screen adds azithromycin as the prioritizable anti-alarmin-class candidate; the two define the combination logic rather than compete. Single-agent geroprotection will tend to carry a barrier-immune price; senolytic-plus-anti-alarmin combination design is the logical counter. This doctrine is currently hypothesis-grade: it rests on one perturbation resource and is signature-definition sensitive, as the quercetin case demonstrates.</w:t>
      </w:r>
    </w:p>
    <w:p>
      <w:pPr>
        <w:pStyle w:val="Heading2"/>
      </w:pPr>
      <w:r>
        <w:rPr>
          <w:rFonts w:ascii="Times New Roman" w:hAnsi="Times New Roman"/>
          <w:color w:val="000000"/>
        </w:rPr>
        <w:t>Limitations</w:t>
      </w:r>
    </w:p>
    <w:p>
      <w:pPr>
        <w:spacing w:after="120" w:line="480" w:lineRule="auto"/>
      </w:pPr>
      <w:r>
        <w:rPr>
          <w:rFonts w:ascii="Times New Roman" w:hAnsi="Times New Roman"/>
          <w:i w:val="0"/>
          <w:sz w:val="24"/>
        </w:rPr>
        <w:t>Stated compactly, not minimized. (i) The frailty instrument is HLA dominated and carries direction only; magnitude claims attach to the outcome-informed composite, whose specificity is partly constructed. (ii) Effect magnitudes are heterogeneous across cohorts (I² = 90–99%); replication establishes direction, not point magnitude. (iii) The eosinophil decomposition is cohort dependent for asthma (unresolved); the atopic-dermatitis dimension contrast is convention dependent; cross-ancestry support is marginal and estimator-sensitive[61][47], and target nominations are European anchored. (iv) NHANES is cross sectional with self-reported main outcomes (objective IgE included); birth-cohort and age effects cannot be fully separated with two cycles (the two cycles also differ in drift slope, 0.056 vs 0.089, so a fraction of the gradient may be period/cohort composition), although direct decomposition found no period level shift, only ~5% attenuation after cohort adjustment, and no cohort-inflation direction; HRS measures no allergy; no incident-allergy cohort was available. (v) The single-cell layers rest on few donors, are nominal after family correction, and do not independently replicate the DICE IL4 colocalization; OneK1K implicated adjacent, not identical, genes. (vi) eQTLGen exposure effects were Z standardized; GTEx-lung tier covered two genes; machinery-gene pQTL awaits access-controlled platforms. (vii) Steiger audits showed only ~48% of frailty-instrument SNPs individually direction-correct for asthma (reversals concentrated at canonical immune loci already excluded), and the magnitude-carrying composite index was even less directionally resolvable (37% correct-direction for asthma; 19 Steiger-significant SNPs wrong versus 3 correct, binomial P = 0.017), so its odds ratios are reported as association magnitudes, not directional causal estimates; directionality rests on the filtered/non-HLA instrument and the MHC-free correlation, not per SNP. (viii) No wet-lab validation: every mechanistic-chain claim above nomination grade is a registered prediction, not a result.</w:t>
      </w:r>
    </w:p>
    <w:p>
      <w:pPr>
        <w:pStyle w:val="Heading2"/>
      </w:pPr>
      <w:r>
        <w:rPr>
          <w:rFonts w:ascii="Times New Roman" w:hAnsi="Times New Roman"/>
          <w:color w:val="000000"/>
        </w:rPr>
        <w:t>Conclusions</w:t>
      </w:r>
    </w:p>
    <w:p>
      <w:pPr>
        <w:spacing w:after="120" w:line="480" w:lineRule="auto"/>
      </w:pPr>
      <w:r>
        <w:rPr>
          <w:rFonts w:ascii="Times New Roman" w:hAnsi="Times New Roman"/>
          <w:i w:val="0"/>
          <w:sz w:val="24"/>
        </w:rPr>
        <w:t>Allergic susceptibility tracks the functional dimension of ageing: a lifelong, measurably drifting haematological type-2 set-point (cross-sectional, cohort-checked) whose risk effect does not amplify with age, whose adult-onset preference is written in shared genetic architecture, and whose barrier interface resolves to a druggable inflammasome-IL-18 node absent from the curated Aging Atlas catalogue. The coupling map, the formal drift model and the IL18 mechanism chain convert "allergy and ageing" from correlation into a testable, druggable framework, and they hand the longevity field a safety constraint it has not yet priced in.</w:t>
      </w:r>
    </w:p>
    <w:p>
      <w:pPr>
        <w:pStyle w:val="Heading1"/>
      </w:pPr>
      <w:r>
        <w:rPr>
          <w:rFonts w:ascii="Times New Roman" w:hAnsi="Times New Roman"/>
          <w:color w:val="000000"/>
        </w:rPr>
        <w:t>Declarations</w:t>
      </w:r>
    </w:p>
    <w:p>
      <w:pPr>
        <w:pStyle w:val="ListBullet"/>
        <w:spacing w:after="120"/>
      </w:pPr>
      <w:r>
        <w:rPr>
          <w:rFonts w:ascii="Times New Roman" w:hAnsi="Times New Roman"/>
          <w:b/>
          <w:i w:val="0"/>
          <w:sz w:val="24"/>
        </w:rPr>
        <w:t>Data availability</w:t>
      </w:r>
      <w:r>
        <w:rPr>
          <w:rFonts w:ascii="Times New Roman" w:hAnsi="Times New Roman"/>
          <w:i w:val="0"/>
          <w:sz w:val="24"/>
        </w:rPr>
        <w:t>: this study used only publicly available or license-controlled summary statistics and de-identified survey data. Sources: FinnGen R12 (https://r12.finngen.fi); Pan-UK Biobank (https://pan.ukbb.broadinstitute.org); NHANES cycles D (2005-2006) and J (2017-2018) (https://wwwn.cdc.gov/nchs/nhanes); Health and Retirement Study (RAND) public-use files (https://hrs.isr.umich.edu); eQTLGen (https://www.eqtlgen.org); GTEx v8 (https://gtexportal.org); pQTL replication cohorts SCALLOP (GCST90012024), Ahola-Olli Luminex (GCST004441), HELIC (GCST90010141), AGES-Reykjavik (GCST90089017) and INTERVAL (GCST90243143); FDA FAERS (https://open.fda.gov); Canada Vigilance; Aging Atlas (https://ngdc.cncb.ac.cn/aging); LINCS L1000 (GSE70138). Derived result files: Supplementary Tables 1-162 (with companions). The six formerly unnumbered new tables now fill ST118-ST123 (ST118 ONSET01; ST119 COUP01; ST120 DRIFT01; ST121 DRIFT02; ST122 GER01; ST123 GER02), and the ATP-axis tables and the knowledge-base table are appended as ST157-ST162 (ST157 ATP01; ST158 ATP02; ST159 ATP02b; ST160 ATP02c; ST161 ATP03; ST162 KB01).</w:t>
      </w:r>
    </w:p>
    <w:p>
      <w:pPr>
        <w:pStyle w:val="ListBullet"/>
        <w:spacing w:after="120"/>
      </w:pPr>
      <w:r>
        <w:rPr>
          <w:rFonts w:ascii="Times New Roman" w:hAnsi="Times New Roman"/>
          <w:b/>
          <w:i w:val="0"/>
          <w:sz w:val="24"/>
        </w:rPr>
        <w:t>Code availability</w:t>
      </w:r>
      <w:r>
        <w:rPr>
          <w:rFonts w:ascii="Times New Roman" w:hAnsi="Times New Roman"/>
          <w:i w:val="0"/>
          <w:sz w:val="24"/>
        </w:rPr>
        <w:t>: analysis code is available at https://github.com/wang76qiang/frailty-haematological-ageing-allergy-mr and archived at Zenodo (https://doi.org/10.5281/zenodo.22152039). The pre-specified analysis plan is registered on the Open Science Framework (https://osf.io/f4v79; registrations qm2hy and f9d3w).</w:t>
      </w:r>
    </w:p>
    <w:p>
      <w:pPr>
        <w:pStyle w:val="ListBullet"/>
        <w:spacing w:after="120"/>
      </w:pPr>
      <w:r>
        <w:rPr>
          <w:rFonts w:ascii="Times New Roman" w:hAnsi="Times New Roman"/>
          <w:b/>
          <w:i w:val="0"/>
          <w:sz w:val="24"/>
        </w:rPr>
        <w:t>Ethics</w:t>
      </w:r>
      <w:r>
        <w:rPr>
          <w:rFonts w:ascii="Times New Roman" w:hAnsi="Times New Roman"/>
          <w:i w:val="0"/>
          <w:sz w:val="24"/>
        </w:rPr>
        <w:t>: the study used publicly available, de-identified data only; no new human-subjects data were collected and no additional institutional review board approval was required. HRS data were accessed as RAND public-use files under the HRS data-use terms.</w:t>
      </w:r>
    </w:p>
    <w:p>
      <w:pPr>
        <w:pStyle w:val="ListBullet"/>
        <w:spacing w:after="120"/>
      </w:pPr>
      <w:r>
        <w:rPr>
          <w:rFonts w:ascii="Times New Roman" w:hAnsi="Times New Roman"/>
          <w:b/>
          <w:i w:val="0"/>
          <w:sz w:val="24"/>
        </w:rPr>
        <w:t>Author contributions</w:t>
      </w:r>
      <w:r>
        <w:rPr>
          <w:rFonts w:ascii="Times New Roman" w:hAnsi="Times New Roman"/>
          <w:i w:val="0"/>
          <w:sz w:val="24"/>
        </w:rPr>
        <w:t>: Conceptualization, H.F. and Q.W.; methodology, H.F.; software, H.F.; validation, H.F. and L.W.; formal analysis, L.B.; investigation, L.B. and L.W.; data curation, L.B.; writing - original draft, H.F.; writing - review and editing, L.W. and Q.W.; visualization, L.B.; supervision, Q.W.; project administration, Q.W.</w:t>
      </w:r>
    </w:p>
    <w:p>
      <w:pPr>
        <w:pStyle w:val="ListBullet"/>
        <w:spacing w:after="120"/>
      </w:pPr>
      <w:r>
        <w:rPr>
          <w:rFonts w:ascii="Times New Roman" w:hAnsi="Times New Roman"/>
          <w:b/>
          <w:i w:val="0"/>
          <w:sz w:val="24"/>
        </w:rPr>
        <w:t>Competing interests</w:t>
      </w:r>
      <w:r>
        <w:rPr>
          <w:rFonts w:ascii="Times New Roman" w:hAnsi="Times New Roman"/>
          <w:i w:val="0"/>
          <w:sz w:val="24"/>
        </w:rPr>
        <w:t>: the authors declare no competing interests.</w:t>
      </w:r>
    </w:p>
    <w:p>
      <w:pPr>
        <w:pStyle w:val="ListBullet"/>
        <w:spacing w:after="120"/>
      </w:pPr>
      <w:r>
        <w:rPr>
          <w:rFonts w:ascii="Times New Roman" w:hAnsi="Times New Roman"/>
          <w:b/>
          <w:i w:val="0"/>
          <w:sz w:val="24"/>
        </w:rPr>
        <w:t>Funding</w:t>
      </w:r>
      <w:r>
        <w:rPr>
          <w:rFonts w:ascii="Times New Roman" w:hAnsi="Times New Roman"/>
          <w:i w:val="0"/>
          <w:sz w:val="24"/>
        </w:rPr>
        <w:t>: This work was supported by grants from the Natural Science Foundation of Beijing Municipality (7232047 and 7242192) and the Beijing Municipal Administration of Hospitals Incubating Program (PX2023019).</w:t>
      </w:r>
    </w:p>
    <w:p>
      <w:pPr>
        <w:pStyle w:val="ListBullet"/>
        <w:spacing w:after="120"/>
      </w:pPr>
      <w:r>
        <w:rPr>
          <w:rFonts w:ascii="Times New Roman" w:hAnsi="Times New Roman"/>
          <w:b/>
          <w:i w:val="0"/>
          <w:sz w:val="24"/>
        </w:rPr>
        <w:t>AI assistance disclosure</w:t>
      </w:r>
      <w:r>
        <w:rPr>
          <w:rFonts w:ascii="Times New Roman" w:hAnsi="Times New Roman"/>
          <w:i w:val="0"/>
          <w:sz w:val="24"/>
        </w:rPr>
        <w:t>: AI-assisted tools were used for language editing and code assistance only; all analyses, data interpretation and conclusions were verified by the authors, who take full responsibility for the content. No AI tool accessed HRS or any other non-public individual-level data.</w:t>
      </w:r>
    </w:p>
    <w:p>
      <w:pPr>
        <w:pStyle w:val="Heading1"/>
      </w:pPr>
      <w:r>
        <w:rPr>
          <w:rFonts w:ascii="Times New Roman" w:hAnsi="Times New Roman"/>
          <w:color w:val="000000"/>
        </w:rPr>
        <w:t>Figure legends</w:t>
      </w:r>
    </w:p>
    <w:p>
      <w:pPr>
        <w:spacing w:after="120" w:line="480" w:lineRule="auto"/>
      </w:pPr>
      <w:r>
        <w:rPr>
          <w:rFonts w:ascii="Times New Roman" w:hAnsi="Times New Roman"/>
          <w:b/>
          <w:i w:val="0"/>
          <w:sz w:val="24"/>
        </w:rPr>
        <w:t>Figure 1 | Dimension adjudication (genetic).</w:t>
      </w:r>
      <w:r>
        <w:rPr>
          <w:rFonts w:ascii="Times New Roman" w:hAnsi="Times New Roman"/>
          <w:i w:val="0"/>
          <w:sz w:val="24"/>
        </w:rPr>
        <w:t xml:space="preserve"> a, MR odds ratios for five ageing instruments against asthma. b, independent-GWAS replication meta-analysis. c, non-HLA (13-SNP) instrument. d, multivariable MR. e, MHC-free genetic-correlation heatmap (5 instruments x 3 outcomes). f, formal frailty-versus-clock rg contrasts. g, in-house versus canonical LDSC frailty rg. h, adult-versus childhood-onset rg with standard errors. i, per-SNP Steiger directionality. j, SNP-heritability of instruments. k, phenome-wide specificity of the composite. l, independent LDSC replication.</w:t>
      </w:r>
    </w:p>
    <w:p>
      <w:pPr>
        <w:spacing w:after="120" w:line="480" w:lineRule="auto"/>
      </w:pPr>
      <w:r>
        <w:rPr>
          <w:rFonts w:ascii="Times New Roman" w:hAnsi="Times New Roman"/>
          <w:b/>
          <w:i w:val="0"/>
          <w:sz w:val="24"/>
        </w:rPr>
        <w:t>Figure 2 | Phenome-wide coupling law.</w:t>
      </w:r>
      <w:r>
        <w:rPr>
          <w:rFonts w:ascii="Times New Roman" w:hAnsi="Times New Roman"/>
          <w:i w:val="0"/>
          <w:sz w:val="24"/>
        </w:rPr>
        <w:t xml:space="preserve"> a, 5 x 17 genetic-correlation matrix (asterisks mark FDR q &lt; 0.05). b, frailty couplings ranked. c, significant clock couplings. d, frailty versus best-clock rg per endpoint. e, rg versus its standard error. f, number of significant couplings per instrument. g, MHC-free versus MHC-included frailty rg. h, UK Biobank type-2 spectrum. i, Biobank Japan cross-ancestry index.</w:t>
      </w:r>
    </w:p>
    <w:p>
      <w:pPr>
        <w:spacing w:after="120" w:line="480" w:lineRule="auto"/>
      </w:pPr>
      <w:r>
        <w:rPr>
          <w:rFonts w:ascii="Times New Roman" w:hAnsi="Times New Roman"/>
          <w:b/>
          <w:i w:val="0"/>
          <w:sz w:val="24"/>
        </w:rPr>
        <w:t>Figure 3 | Set-point drift model.</w:t>
      </w:r>
      <w:r>
        <w:rPr>
          <w:rFonts w:ascii="Times New Roman" w:hAnsi="Times New Roman"/>
          <w:i w:val="0"/>
          <w:sz w:val="24"/>
        </w:rPr>
        <w:t xml:space="preserve"> a, index by age decade in two survey cycles. b, drift coefficient per cycle and pooled. c, hinge pre-/post-knot slopes. d, residual dispersion across age. e, index x age gain interaction. f, component drift. g, period/cohort decomposition. h, no-CRP sensitivity. i, index-age correlation. j, index-CRP correlation. k, incremental value (delta-AIC). l, hinge knot with confidence interval.</w:t>
      </w:r>
    </w:p>
    <w:p>
      <w:pPr>
        <w:spacing w:after="120" w:line="480" w:lineRule="auto"/>
      </w:pPr>
      <w:r>
        <w:rPr>
          <w:rFonts w:ascii="Times New Roman" w:hAnsi="Times New Roman"/>
          <w:b/>
          <w:i w:val="0"/>
          <w:sz w:val="24"/>
        </w:rPr>
        <w:t>Figure 4 | Population validation and causal bounding.</w:t>
      </w:r>
      <w:r>
        <w:rPr>
          <w:rFonts w:ascii="Times New Roman" w:hAnsi="Times New Roman"/>
          <w:i w:val="0"/>
          <w:sz w:val="24"/>
        </w:rPr>
        <w:t xml:space="preserve"> a, survey-weighted NHANES odds ratios. b, weighted versus unweighted. c, age-stratified odds ratios. d, age-interaction terms. e, objective IgE validation. f, index-weight sensitivity. g, target-trial emulation. h, HRS per-SD hazard ratios. i, HRS early-warning signals. j, HRS age-stratified hazard ratios. k, HRS deficit-exclusion refit. l, drug-subgroup emulation.</w:t>
      </w:r>
    </w:p>
    <w:p>
      <w:pPr>
        <w:spacing w:after="120" w:line="480" w:lineRule="auto"/>
      </w:pPr>
      <w:r>
        <w:rPr>
          <w:rFonts w:ascii="Times New Roman" w:hAnsi="Times New Roman"/>
          <w:b/>
          <w:i w:val="0"/>
          <w:sz w:val="24"/>
        </w:rPr>
        <w:t>Figure 5 | Mechanism I: 5q31, IL4 and the epigenome.</w:t>
      </w:r>
      <w:r>
        <w:rPr>
          <w:rFonts w:ascii="Times New Roman" w:hAnsi="Times New Roman"/>
          <w:i w:val="0"/>
          <w:sz w:val="24"/>
        </w:rPr>
        <w:t xml:space="preserve"> a, 5q31 colocalization posteriors. b, full-region colocalization matrix (3 eQTL x 3 outcomes). c, cell-type MR. d, IL4/IL13 allelic directions. e, OneK1K independent cell-type MR. f, methylome-overlap enrichment. g, Treg expression by donor. h, conditional 5q31 signals. i, SMR/HEIDI. j, rs2070874 directions. k, colocalization prior sensitivity. l, single-cell age slopes.</w:t>
      </w:r>
    </w:p>
    <w:p>
      <w:pPr>
        <w:spacing w:after="120" w:line="480" w:lineRule="auto"/>
      </w:pPr>
      <w:r>
        <w:rPr>
          <w:rFonts w:ascii="Times New Roman" w:hAnsi="Times New Roman"/>
          <w:b/>
          <w:i w:val="0"/>
          <w:sz w:val="24"/>
        </w:rPr>
        <w:t>Figure 6 | Mechanism II: single cells and tissue localization.</w:t>
      </w:r>
      <w:r>
        <w:rPr>
          <w:rFonts w:ascii="Times New Roman" w:hAnsi="Times New Roman"/>
          <w:i w:val="0"/>
          <w:sz w:val="24"/>
        </w:rPr>
        <w:t xml:space="preserve"> a, Treg pseudobulk by age. b, translational age GLM. c, immune cell-source expression. d, lung expression by cell type. e, index cell-type anchoring. f, target cell localization. g, ambient-RNA falsification. h, Treg age sensitivity. i, Treg age rate ratios. j, translational pseudobulk totals. k, single-cell ageing-module slopes. l, blood-trait MR.</w:t>
      </w:r>
    </w:p>
    <w:p>
      <w:pPr>
        <w:spacing w:after="120" w:line="480" w:lineRule="auto"/>
      </w:pPr>
      <w:r>
        <w:rPr>
          <w:rFonts w:ascii="Times New Roman" w:hAnsi="Times New Roman"/>
          <w:b/>
          <w:i w:val="0"/>
          <w:sz w:val="24"/>
        </w:rPr>
        <w:t>Figure 7 | Translation I: IL18 and the ATP-inflammasome axis.</w:t>
      </w:r>
      <w:r>
        <w:rPr>
          <w:rFonts w:ascii="Times New Roman" w:hAnsi="Times New Roman"/>
          <w:i w:val="0"/>
          <w:sz w:val="24"/>
        </w:rPr>
        <w:t xml:space="preserve"> a, cis-pQTL replication. b, cross-platform meta-analysis. c, pQTL colocalization. d, on-target safety scan. e, molecular mediation. f, IL33 gene-burden comparator. g, ATP-axis cis-eQTL MR heatmap. h, per-SNP volcano. i, leave-one-out ranges. j, single-SNP weight shares. k, GTEx lung context. l, lung ATP-machinery co-localization.</w:t>
      </w:r>
    </w:p>
    <w:p>
      <w:pPr>
        <w:spacing w:after="120" w:line="480" w:lineRule="auto"/>
      </w:pPr>
      <w:r>
        <w:rPr>
          <w:rFonts w:ascii="Times New Roman" w:hAnsi="Times New Roman"/>
          <w:b/>
          <w:i w:val="0"/>
          <w:sz w:val="24"/>
        </w:rPr>
        <w:t>Figure 8 | Translation II: geroprotection and pharmacovigilance.</w:t>
      </w:r>
      <w:r>
        <w:rPr>
          <w:rFonts w:ascii="Times New Roman" w:hAnsi="Times New Roman"/>
          <w:i w:val="0"/>
          <w:sz w:val="24"/>
        </w:rPr>
        <w:t xml:space="preserve"> a, geroprotector triple-filter scatter. b, dual-signature pass list. c, LINCS ageing connectivity. d, LINCS alarmin connectivity. e, PRISM target-drug scores. f, Aging Atlas panel membership. g, FAERS reporting odds ratios. h, Canada Vigilance reporting odds ratios. i, two-database concordance. j, genetic target versus adverse-event direction. k, trial-level adverse-event summary. l, TNFSF14 multi-platform sensitivity.</w:t>
      </w:r>
    </w:p>
    <w:p>
      <w:pPr>
        <w:pStyle w:val="Heading1"/>
      </w:pPr>
      <w:r>
        <w:rPr>
          <w:rFonts w:ascii="Times New Roman" w:hAnsi="Times New Roman"/>
          <w:color w:val="000000"/>
        </w:rPr>
        <w:t>Table legends</w:t>
      </w:r>
    </w:p>
    <w:p>
      <w:pPr>
        <w:spacing w:after="120" w:line="480" w:lineRule="auto"/>
      </w:pPr>
      <w:r>
        <w:rPr>
          <w:rFonts w:ascii="Times New Roman" w:hAnsi="Times New Roman"/>
          <w:b/>
          <w:i w:val="0"/>
          <w:sz w:val="24"/>
        </w:rPr>
        <w:t>Table 1 |</w:t>
      </w:r>
      <w:r>
        <w:rPr>
          <w:rFonts w:ascii="Times New Roman" w:hAnsi="Times New Roman"/>
          <w:i w:val="0"/>
          <w:sz w:val="24"/>
        </w:rPr>
        <w:t xml:space="preserve"> Study populations and data resources. </w:t>
      </w:r>
      <w:r>
        <w:rPr>
          <w:rFonts w:ascii="Times New Roman" w:hAnsi="Times New Roman"/>
          <w:b/>
          <w:i w:val="0"/>
          <w:sz w:val="24"/>
        </w:rPr>
        <w:t>Table 2 |</w:t>
      </w:r>
      <w:r>
        <w:rPr>
          <w:rFonts w:ascii="Times New Roman" w:hAnsi="Times New Roman"/>
          <w:i w:val="0"/>
          <w:sz w:val="24"/>
        </w:rPr>
        <w:t xml:space="preserve"> Dimension adjudication: MR effect and genetic correlation. </w:t>
      </w:r>
      <w:r>
        <w:rPr>
          <w:rFonts w:ascii="Times New Roman" w:hAnsi="Times New Roman"/>
          <w:b/>
          <w:i w:val="0"/>
          <w:sz w:val="24"/>
        </w:rPr>
        <w:t>Table 3 |</w:t>
      </w:r>
      <w:r>
        <w:rPr>
          <w:rFonts w:ascii="Times New Roman" w:hAnsi="Times New Roman"/>
          <w:i w:val="0"/>
          <w:sz w:val="24"/>
        </w:rPr>
        <w:t xml:space="preserve"> Set-point drift model parameters. </w:t>
      </w:r>
      <w:r>
        <w:rPr>
          <w:rFonts w:ascii="Times New Roman" w:hAnsi="Times New Roman"/>
          <w:b/>
          <w:i w:val="0"/>
          <w:sz w:val="24"/>
        </w:rPr>
        <w:t>Table 4 |</w:t>
      </w:r>
      <w:r>
        <w:rPr>
          <w:rFonts w:ascii="Times New Roman" w:hAnsi="Times New Roman"/>
          <w:i w:val="0"/>
          <w:sz w:val="24"/>
        </w:rPr>
        <w:t xml:space="preserve"> Translational targets (IL18/TNFSF14).</w:t>
      </w:r>
    </w:p>
    <w:p>
      <w:pPr>
        <w:spacing w:after="120" w:line="480" w:lineRule="auto"/>
      </w:pPr>
      <w:r>
        <w:rPr>
          <w:rFonts w:ascii="Times New Roman" w:hAnsi="Times New Roman"/>
          <w:b/>
          <w:i w:val="0"/>
          <w:sz w:val="24"/>
        </w:rPr>
        <w:t>Supplementary Figures 1-16</w:t>
      </w:r>
      <w:r>
        <w:rPr>
          <w:rFonts w:ascii="Times New Roman" w:hAnsi="Times New Roman"/>
          <w:i w:val="0"/>
          <w:sz w:val="24"/>
        </w:rPr>
        <w:t xml:space="preserve"> and </w:t>
      </w:r>
      <w:r>
        <w:rPr>
          <w:rFonts w:ascii="Times New Roman" w:hAnsi="Times New Roman"/>
          <w:b/>
          <w:i w:val="0"/>
          <w:sz w:val="24"/>
        </w:rPr>
        <w:t>Supplementary Tables 1-162</w:t>
      </w:r>
      <w:r>
        <w:rPr>
          <w:rFonts w:ascii="Times New Roman" w:hAnsi="Times New Roman"/>
          <w:i w:val="0"/>
          <w:sz w:val="24"/>
        </w:rPr>
        <w:t xml:space="preserve"> (with companions) are provided in the Supplementary Information and accompanying data files; their sources are mapped in the supplementary index.</w:t>
      </w:r>
    </w:p>
    <w:p>
      <w:pPr>
        <w:pStyle w:val="Heading1"/>
      </w:pPr>
      <w:r>
        <w:rPr>
          <w:rFonts w:ascii="Times New Roman" w:hAnsi="Times New Roman"/>
          <w:color w:val="000000"/>
        </w:rPr>
        <w:t>References</w:t>
      </w:r>
    </w:p>
    <w:p>
      <w:pPr>
        <w:spacing w:after="40" w:line="240" w:lineRule="auto"/>
        <w:ind w:left="360" w:hanging="360"/>
      </w:pPr>
      <w:r>
        <w:rPr>
          <w:rFonts w:ascii="Times New Roman" w:hAnsi="Times New Roman"/>
          <w:i w:val="0"/>
          <w:sz w:val="20"/>
        </w:rPr>
        <w:t>1. Horvath, S. DNA methylation age of human tissues and cell types. Genome Biol. 14, R115 (2013).</w:t>
      </w:r>
    </w:p>
    <w:p>
      <w:pPr>
        <w:spacing w:after="40" w:line="240" w:lineRule="auto"/>
        <w:ind w:left="360" w:hanging="360"/>
      </w:pPr>
      <w:r>
        <w:rPr>
          <w:rFonts w:ascii="Times New Roman" w:hAnsi="Times New Roman"/>
          <w:i w:val="0"/>
          <w:sz w:val="20"/>
        </w:rPr>
        <w:t>2. Levine, M. E., Lu, A. T., Quach, A., Chen, B. H., Assimes, T. L., Bandinelli, S. et al. An epigenetic biomarker of aging for lifespan and healthspan. Aging 10, 573-591 (2018).</w:t>
      </w:r>
    </w:p>
    <w:p>
      <w:pPr>
        <w:spacing w:after="40" w:line="240" w:lineRule="auto"/>
        <w:ind w:left="360" w:hanging="360"/>
      </w:pPr>
      <w:r>
        <w:rPr>
          <w:rFonts w:ascii="Times New Roman" w:hAnsi="Times New Roman"/>
          <w:i w:val="0"/>
          <w:sz w:val="20"/>
        </w:rPr>
        <w:t>3. Lu, A. T., Quach, A., Wilson, J. G., Reiner, A. P., Aviv, A., Raj, K. et al. DNA methylation GrimAge strongly predicts lifespan and healthspan. Aging 11, 303-327 (2019).</w:t>
      </w:r>
    </w:p>
    <w:p>
      <w:pPr>
        <w:spacing w:after="40" w:line="240" w:lineRule="auto"/>
        <w:ind w:left="360" w:hanging="360"/>
      </w:pPr>
      <w:r>
        <w:rPr>
          <w:rFonts w:ascii="Times New Roman" w:hAnsi="Times New Roman"/>
          <w:i w:val="0"/>
          <w:sz w:val="20"/>
        </w:rPr>
        <w:t>4. Clegg, A., Young, J., Iliffe, S., Rikkert, M. O. &amp; Rockwood, K. Frailty in elderly people. Lancet 381, 752-762 (2013).</w:t>
      </w:r>
    </w:p>
    <w:p>
      <w:pPr>
        <w:spacing w:after="40" w:line="240" w:lineRule="auto"/>
        <w:ind w:left="360" w:hanging="360"/>
      </w:pPr>
      <w:r>
        <w:rPr>
          <w:rFonts w:ascii="Times New Roman" w:hAnsi="Times New Roman"/>
          <w:i w:val="0"/>
          <w:sz w:val="20"/>
        </w:rPr>
        <w:t>5. Atkins, J. L., Jylhävä, J., Pedersen, N. L., Magnusson, P. K., Lu, Y., Wang, Y. et al. A genome-wide association study of the frailty index highlights brain pathways in ageing. Aging Cell 20, e13459 (2021).</w:t>
      </w:r>
    </w:p>
    <w:p>
      <w:pPr>
        <w:spacing w:after="40" w:line="240" w:lineRule="auto"/>
        <w:ind w:left="360" w:hanging="360"/>
      </w:pPr>
      <w:r>
        <w:rPr>
          <w:rFonts w:ascii="Times New Roman" w:hAnsi="Times New Roman"/>
          <w:i w:val="0"/>
          <w:sz w:val="20"/>
        </w:rPr>
        <w:t>6. Lehallier, B., Gate, D., Schaum, N., Nanasi, T., Lee, S. E., Yousef, H. et al. Undulating changes in human plasma proteome profiles across the lifespan. Nat. Med. 25, 1843-1850 (2019).</w:t>
      </w:r>
    </w:p>
    <w:p>
      <w:pPr>
        <w:spacing w:after="40" w:line="240" w:lineRule="auto"/>
        <w:ind w:left="360" w:hanging="360"/>
      </w:pPr>
      <w:r>
        <w:rPr>
          <w:rFonts w:ascii="Times New Roman" w:hAnsi="Times New Roman"/>
          <w:i w:val="0"/>
          <w:sz w:val="20"/>
        </w:rPr>
        <w:t>7. Jylhävä, J., Pedersen, N. L. &amp; Hägg, S. Biological age predictors. EBioMedicine 21, 29-36 (2017).</w:t>
      </w:r>
    </w:p>
    <w:p>
      <w:pPr>
        <w:spacing w:after="40" w:line="240" w:lineRule="auto"/>
        <w:ind w:left="360" w:hanging="360"/>
      </w:pPr>
      <w:r>
        <w:rPr>
          <w:rFonts w:ascii="Times New Roman" w:hAnsi="Times New Roman"/>
          <w:i w:val="0"/>
          <w:sz w:val="20"/>
        </w:rPr>
        <w:t>8. Papi, A., Brightling, C., Pedersen, S. E. &amp; Reddel, H. K. Asthma. Lancet 391, 783-800 (2018).</w:t>
      </w:r>
    </w:p>
    <w:p>
      <w:pPr>
        <w:spacing w:after="40" w:line="240" w:lineRule="auto"/>
        <w:ind w:left="360" w:hanging="360"/>
      </w:pPr>
      <w:r>
        <w:rPr>
          <w:rFonts w:ascii="Times New Roman" w:hAnsi="Times New Roman"/>
          <w:i w:val="0"/>
          <w:sz w:val="20"/>
        </w:rPr>
        <w:t>9. Vos, T., Lim, S. S., Abbafati, C., Abbas, K. M., Abbasi, M., Abbasifard, M. et al. Global burden of 369 diseases and injuries in 204 countries and territories, 1990-2019: a systematic analysis for the Global Burden of Disease Study 2019. Lancet 396, 1204-1222 (2020).</w:t>
      </w:r>
    </w:p>
    <w:p>
      <w:pPr>
        <w:spacing w:after="40" w:line="240" w:lineRule="auto"/>
        <w:ind w:left="360" w:hanging="360"/>
      </w:pPr>
      <w:r>
        <w:rPr>
          <w:rFonts w:ascii="Times New Roman" w:hAnsi="Times New Roman"/>
          <w:i w:val="0"/>
          <w:sz w:val="20"/>
        </w:rPr>
        <w:t>10. Baptist, A. P. &amp; Busse, P. J. Asthma over the age of 65: all's well that ends well. J. Allergy Clin. Immunol. Pract. 6, 764-773 (2018).</w:t>
      </w:r>
    </w:p>
    <w:p>
      <w:pPr>
        <w:spacing w:after="40" w:line="240" w:lineRule="auto"/>
        <w:ind w:left="360" w:hanging="360"/>
      </w:pPr>
      <w:r>
        <w:rPr>
          <w:rFonts w:ascii="Times New Roman" w:hAnsi="Times New Roman"/>
          <w:i w:val="0"/>
          <w:sz w:val="20"/>
        </w:rPr>
        <w:t>11. Franceschi, C., Garagnani, P., Parini, P., Giuliani, C. &amp; Santoro, A. Inflammaging: a new immune-metabolic viewpoint for age-related diseases. Nat. Rev. Endocrinol. 14, 576-590 (2018).</w:t>
      </w:r>
    </w:p>
    <w:p>
      <w:pPr>
        <w:spacing w:after="40" w:line="240" w:lineRule="auto"/>
        <w:ind w:left="360" w:hanging="360"/>
      </w:pPr>
      <w:r>
        <w:rPr>
          <w:rFonts w:ascii="Times New Roman" w:hAnsi="Times New Roman"/>
          <w:i w:val="0"/>
          <w:sz w:val="20"/>
        </w:rPr>
        <w:t>12. Nikolich-Žugich, J. The twilight of immunity: emerging concepts in aging of the immune system. Nat. Immunol. 19, 10-19 (2018).</w:t>
      </w:r>
    </w:p>
    <w:p>
      <w:pPr>
        <w:spacing w:after="40" w:line="240" w:lineRule="auto"/>
        <w:ind w:left="360" w:hanging="360"/>
      </w:pPr>
      <w:r>
        <w:rPr>
          <w:rFonts w:ascii="Times New Roman" w:hAnsi="Times New Roman"/>
          <w:i w:val="0"/>
          <w:sz w:val="20"/>
        </w:rPr>
        <w:t>13. Sanderson, E., Glymour, M. M., Holmes, M. V., Kang, H., Morrison, J., Munafò, M. R. et al. Mendelian randomization. Nat. Rev. Methods Primers 2, 6 (2022).</w:t>
      </w:r>
    </w:p>
    <w:p>
      <w:pPr>
        <w:spacing w:after="40" w:line="240" w:lineRule="auto"/>
        <w:ind w:left="360" w:hanging="360"/>
      </w:pPr>
      <w:r>
        <w:rPr>
          <w:rFonts w:ascii="Times New Roman" w:hAnsi="Times New Roman"/>
          <w:i w:val="0"/>
          <w:sz w:val="20"/>
        </w:rPr>
        <w:t>14. Lawlor, D. A., Tilling, K. &amp; Davey Smith, G. Triangulation in aetiological epidemiology. Int. J. Epidemiol. 45, 1866-1886 (2016).</w:t>
      </w:r>
    </w:p>
    <w:p>
      <w:pPr>
        <w:spacing w:after="40" w:line="240" w:lineRule="auto"/>
        <w:ind w:left="360" w:hanging="360"/>
      </w:pPr>
      <w:r>
        <w:rPr>
          <w:rFonts w:ascii="Times New Roman" w:hAnsi="Times New Roman"/>
          <w:i w:val="0"/>
          <w:sz w:val="20"/>
        </w:rPr>
        <w:t>15. Skrivankova, V. W., Richmond, R. C., Woolf, B. A. R., Yarmolinsky, J., Davies, N. M., Swanson, S. A. et al. Strengthening the reporting of observational studies in epidemiology using Mendelian randomization: the STROBE-MR statement. JAMA 326, 1614-1621 (2021).</w:t>
      </w:r>
    </w:p>
    <w:p>
      <w:pPr>
        <w:spacing w:after="40" w:line="240" w:lineRule="auto"/>
        <w:ind w:left="360" w:hanging="360"/>
      </w:pPr>
      <w:r>
        <w:rPr>
          <w:rFonts w:ascii="Times New Roman" w:hAnsi="Times New Roman"/>
          <w:i w:val="0"/>
          <w:sz w:val="20"/>
        </w:rPr>
        <w:t>16. Palmer, C. &amp; Pe'er, I. Statistical correction of the winner's curse explains replication variability in quantitative trait genome-wide association studies. PLoS Genet. 13, e1006916 (2017).</w:t>
      </w:r>
    </w:p>
    <w:p>
      <w:pPr>
        <w:spacing w:after="40" w:line="240" w:lineRule="auto"/>
        <w:ind w:left="360" w:hanging="360"/>
      </w:pPr>
      <w:r>
        <w:rPr>
          <w:rFonts w:ascii="Times New Roman" w:hAnsi="Times New Roman"/>
          <w:i w:val="0"/>
          <w:sz w:val="20"/>
        </w:rPr>
        <w:t>17. Bowden, J., Davey Smith, G. &amp; Burgess, S. Mendelian randomization with invalid instruments: effect estimation and bias detection through Egger regression. Int. J. Epidemiol. 44, 512-525 (2015).</w:t>
      </w:r>
    </w:p>
    <w:p>
      <w:pPr>
        <w:spacing w:after="40" w:line="240" w:lineRule="auto"/>
        <w:ind w:left="360" w:hanging="360"/>
      </w:pPr>
      <w:r>
        <w:rPr>
          <w:rFonts w:ascii="Times New Roman" w:hAnsi="Times New Roman"/>
          <w:i w:val="0"/>
          <w:sz w:val="20"/>
        </w:rPr>
        <w:t>18. Bowden, J., Davey Smith, G., Haycock, P. C. &amp; Burgess, S. Consistent estimation in Mendelian randomization with some invalid instruments using a weighted median estimator. Genet. Epidemiol. 40, 304-314 (2016).</w:t>
      </w:r>
    </w:p>
    <w:p>
      <w:pPr>
        <w:spacing w:after="40" w:line="240" w:lineRule="auto"/>
        <w:ind w:left="360" w:hanging="360"/>
      </w:pPr>
      <w:r>
        <w:rPr>
          <w:rFonts w:ascii="Times New Roman" w:hAnsi="Times New Roman"/>
          <w:i w:val="0"/>
          <w:sz w:val="20"/>
        </w:rPr>
        <w:t>19. Verbanck, M., Chen, C. Y., Neale, B. &amp; Do, R. Detection of widespread horizontal pleiotropy in causal relationships inferred from Mendelian randomization between complex traits and diseases. Nat. Genet. 50, 693-698 (2018).</w:t>
      </w:r>
    </w:p>
    <w:p>
      <w:pPr>
        <w:spacing w:after="40" w:line="240" w:lineRule="auto"/>
        <w:ind w:left="360" w:hanging="360"/>
      </w:pPr>
      <w:r>
        <w:rPr>
          <w:rFonts w:ascii="Times New Roman" w:hAnsi="Times New Roman"/>
          <w:i w:val="0"/>
          <w:sz w:val="20"/>
        </w:rPr>
        <w:t>20. Zhao, Q., Wang, J., Hemani, G., Bowden, J. &amp; Small, D. S. Statistical inference in two-sample summary-data Mendelian randomization using robust adjusted profile score. Ann. Stat. 48, 1742-1769 (2020).</w:t>
      </w:r>
    </w:p>
    <w:p>
      <w:pPr>
        <w:spacing w:after="40" w:line="240" w:lineRule="auto"/>
        <w:ind w:left="360" w:hanging="360"/>
      </w:pPr>
      <w:r>
        <w:rPr>
          <w:rFonts w:ascii="Times New Roman" w:hAnsi="Times New Roman"/>
          <w:i w:val="0"/>
          <w:sz w:val="20"/>
        </w:rPr>
        <w:t>21. Kurki, M. I., Karjalainen, J., Palta, P., Sipilä, T. P., Kristiansson, K., Donner, K. M. et al. FinnGen provides genetic insights from a well-phenotyped isolated population. Nature 613, 508-518 (2023).</w:t>
      </w:r>
    </w:p>
    <w:p>
      <w:pPr>
        <w:spacing w:after="40" w:line="240" w:lineRule="auto"/>
        <w:ind w:left="360" w:hanging="360"/>
      </w:pPr>
      <w:r>
        <w:rPr>
          <w:rFonts w:ascii="Times New Roman" w:hAnsi="Times New Roman"/>
          <w:i w:val="0"/>
          <w:sz w:val="20"/>
        </w:rPr>
        <w:t>22. FinnGen. FinnGen Release R12: data portal, endpoint definitions and summary statistics. https://r12.finngen.fi (accessed 25 September 2026).</w:t>
      </w:r>
    </w:p>
    <w:p>
      <w:pPr>
        <w:spacing w:after="40" w:line="240" w:lineRule="auto"/>
        <w:ind w:left="360" w:hanging="360"/>
      </w:pPr>
      <w:r>
        <w:rPr>
          <w:rFonts w:ascii="Times New Roman" w:hAnsi="Times New Roman"/>
          <w:i w:val="0"/>
          <w:sz w:val="20"/>
        </w:rPr>
        <w:t>23. Demenais, F., Margaritte-Jeannin, P., Barnes, K. C., Cookson, W. O. C., Altmüller, J., Ang, W. et al. Multiancestry association study identifies new asthma risk loci that colocalize with immune-cell enhancer marks. Nat. Genet. 50, 42-53 (2018).</w:t>
      </w:r>
    </w:p>
    <w:p>
      <w:pPr>
        <w:spacing w:after="40" w:line="240" w:lineRule="auto"/>
        <w:ind w:left="360" w:hanging="360"/>
      </w:pPr>
      <w:r>
        <w:rPr>
          <w:rFonts w:ascii="Times New Roman" w:hAnsi="Times New Roman"/>
          <w:i w:val="0"/>
          <w:sz w:val="20"/>
        </w:rPr>
        <w:t>24. Early Genetics and Lifecourse Epidemiology (EAGLE) Eczema Consortium. Multi-ancestry genome-wide association study of 21,000 cases and 95,000 controls identifies new risk loci for atopic dermatitis. Nat. Genet. 47, 1449-1456 (2015).</w:t>
      </w:r>
    </w:p>
    <w:p>
      <w:pPr>
        <w:spacing w:after="40" w:line="240" w:lineRule="auto"/>
        <w:ind w:left="360" w:hanging="360"/>
      </w:pPr>
      <w:r>
        <w:rPr>
          <w:rFonts w:ascii="Times New Roman" w:hAnsi="Times New Roman"/>
          <w:i w:val="0"/>
          <w:sz w:val="20"/>
        </w:rPr>
        <w:t>25. Bulik-Sullivan, B. K., Loh, P. R., Finucane, H. K., Ripke, S., Yang, J., Patterson, N. et al. LD Score regression distinguishes confounding from polygenicity in genome-wide association studies. Nat. Genet. 47, 291-295 (2015).</w:t>
      </w:r>
    </w:p>
    <w:p>
      <w:pPr>
        <w:spacing w:after="40" w:line="240" w:lineRule="auto"/>
        <w:ind w:left="360" w:hanging="360"/>
      </w:pPr>
      <w:r>
        <w:rPr>
          <w:rFonts w:ascii="Times New Roman" w:hAnsi="Times New Roman"/>
          <w:i w:val="0"/>
          <w:sz w:val="20"/>
        </w:rPr>
        <w:t>26. Johnson, C. L. et al. National Health and Nutrition Examination Survey: analytic guidelines, 1999-2010. Vital Health Stat. 2 161, 1-24 (2013).</w:t>
      </w:r>
    </w:p>
    <w:p>
      <w:pPr>
        <w:spacing w:after="40" w:line="240" w:lineRule="auto"/>
        <w:ind w:left="360" w:hanging="360"/>
      </w:pPr>
      <w:r>
        <w:rPr>
          <w:rFonts w:ascii="Times New Roman" w:hAnsi="Times New Roman"/>
          <w:i w:val="0"/>
          <w:sz w:val="20"/>
        </w:rPr>
        <w:t>27. National Center for Health Statistics. National Health and Nutrition Examination Survey (NHANES), 2017-2018 cycle: questionnaires, datasets and related documentation. Centers for Disease Control and Prevention, Hyattsville, MD. https://wwwn.cdc.gov/nchs/nhanes/continuousnhanes/default.aspx?BeginYear=2017 (accessed 25 September 2026).</w:t>
      </w:r>
    </w:p>
    <w:p>
      <w:pPr>
        <w:spacing w:after="40" w:line="240" w:lineRule="auto"/>
        <w:ind w:left="360" w:hanging="360"/>
      </w:pPr>
      <w:r>
        <w:rPr>
          <w:rFonts w:ascii="Times New Roman" w:hAnsi="Times New Roman"/>
          <w:i w:val="0"/>
          <w:sz w:val="20"/>
        </w:rPr>
        <w:t>28. Sonnega, A., Faul, J. D., Ofstedal, M. B., Langa, K. M., Phillips, J. W. &amp; Weir, D. R. Cohort profile: the Health and Retirement Study (HRS). Int. J. Epidemiol. 43, 576-585 (2014).</w:t>
      </w:r>
    </w:p>
    <w:p>
      <w:pPr>
        <w:spacing w:after="40" w:line="240" w:lineRule="auto"/>
        <w:ind w:left="360" w:hanging="360"/>
      </w:pPr>
      <w:r>
        <w:rPr>
          <w:rFonts w:ascii="Times New Roman" w:hAnsi="Times New Roman"/>
          <w:i w:val="0"/>
          <w:sz w:val="20"/>
        </w:rPr>
        <w:t>29. Giambartolomei, C., Vukcevic, D., Schadt, E. E., Franke, L., Hingorani, A. D., Wallace, C. et al. Bayesian test for colocalisation between pairs of genetic association studies using summary statistics. PLoS Genet. 10, e1004383 (2014).</w:t>
      </w:r>
    </w:p>
    <w:p>
      <w:pPr>
        <w:spacing w:after="40" w:line="240" w:lineRule="auto"/>
        <w:ind w:left="360" w:hanging="360"/>
      </w:pPr>
      <w:r>
        <w:rPr>
          <w:rFonts w:ascii="Times New Roman" w:hAnsi="Times New Roman"/>
          <w:i w:val="0"/>
          <w:sz w:val="20"/>
        </w:rPr>
        <w:t>30. Wallace, C. A more accurate method for colocalisation analysis allowing for multiple causal variants. PLoS Genet. 17, e1009440 (2021).</w:t>
      </w:r>
    </w:p>
    <w:p>
      <w:pPr>
        <w:spacing w:after="40" w:line="240" w:lineRule="auto"/>
        <w:ind w:left="360" w:hanging="360"/>
      </w:pPr>
      <w:r>
        <w:rPr>
          <w:rFonts w:ascii="Times New Roman" w:hAnsi="Times New Roman"/>
          <w:i w:val="0"/>
          <w:sz w:val="20"/>
        </w:rPr>
        <w:t>31. Võsa, U., Claringbould, A., Westra, H. J., Bonder, M. J., Deelen, P., Zeng, B. et al. Large-scale cis- and trans-eQTL analyses identify thousands of genetic loci and polygenic scores that regulate blood gene expression. Nat. Genet. 53, 1300-1310 (2021).</w:t>
      </w:r>
    </w:p>
    <w:p>
      <w:pPr>
        <w:spacing w:after="40" w:line="240" w:lineRule="auto"/>
        <w:ind w:left="360" w:hanging="360"/>
      </w:pPr>
      <w:r>
        <w:rPr>
          <w:rFonts w:ascii="Times New Roman" w:hAnsi="Times New Roman"/>
          <w:i w:val="0"/>
          <w:sz w:val="20"/>
        </w:rPr>
        <w:t>32. Schmiedel, B. J., Singh, D., Madrigal, A., Valdovino-Gonzalez, A. G., White, B. M., Zapardiel-Gonzalo, J. et al. Impact of genetic polymorphisms on human immune cell gene expression. Cell 175, 1701-1715.e16 (2018).</w:t>
      </w:r>
    </w:p>
    <w:p>
      <w:pPr>
        <w:spacing w:after="40" w:line="240" w:lineRule="auto"/>
        <w:ind w:left="360" w:hanging="360"/>
      </w:pPr>
      <w:r>
        <w:rPr>
          <w:rFonts w:ascii="Times New Roman" w:hAnsi="Times New Roman"/>
          <w:i w:val="0"/>
          <w:sz w:val="20"/>
        </w:rPr>
        <w:t>33. Zhu, Z., Zhang, F., Hu, H., Bakshi, A., Robinson, M. R., Powell, J. E. et al. Integration of summary data from GWAS and eQTL studies predicts complex trait gene targets. Nat. Genet. 48, 481-487 (2016).</w:t>
      </w:r>
    </w:p>
    <w:p>
      <w:pPr>
        <w:spacing w:after="40" w:line="240" w:lineRule="auto"/>
        <w:ind w:left="360" w:hanging="360"/>
      </w:pPr>
      <w:r>
        <w:rPr>
          <w:rFonts w:ascii="Times New Roman" w:hAnsi="Times New Roman"/>
          <w:i w:val="0"/>
          <w:sz w:val="20"/>
        </w:rPr>
        <w:t>34. The Tabula Sapiens Consortium. The Tabula Sapiens: a multiple-organ, single-cell transcriptomic atlas of humans. Science 376, eabl4896 (2022). (Tabula Sapiens 1.0)</w:t>
      </w:r>
    </w:p>
    <w:p>
      <w:pPr>
        <w:spacing w:after="40" w:line="240" w:lineRule="auto"/>
        <w:ind w:left="360" w:hanging="360"/>
      </w:pPr>
      <w:r>
        <w:rPr>
          <w:rFonts w:ascii="Times New Roman" w:hAnsi="Times New Roman"/>
          <w:i w:val="0"/>
          <w:sz w:val="20"/>
        </w:rPr>
        <w:t>35. The Tabula Sapiens Consortium. Tabula Sapiens reveals transcription factor expression, senescence effects, and sex-specific features in cell types from 28 human organs and tissues. Preprint at https://doi.org/10.1101/2024.12.03.626516 (2024). (Tabula Sapiens 2.0; the atlas analysed in this study)</w:t>
      </w:r>
    </w:p>
    <w:p>
      <w:pPr>
        <w:spacing w:after="40" w:line="240" w:lineRule="auto"/>
        <w:ind w:left="360" w:hanging="360"/>
      </w:pPr>
      <w:r>
        <w:rPr>
          <w:rFonts w:ascii="Times New Roman" w:hAnsi="Times New Roman"/>
          <w:i w:val="0"/>
          <w:sz w:val="20"/>
        </w:rPr>
        <w:t>36. Yazar, S., Alquicira-Hernandez, J., Wing, K., Senabouth, A., Gordon, M. G., Andersen, S. et al. Single-cell eQTL mapping identifies cell type-specific genetic control of autoimmune disease. Science 376, eabf3041 (2022).</w:t>
      </w:r>
    </w:p>
    <w:p>
      <w:pPr>
        <w:spacing w:after="40" w:line="240" w:lineRule="auto"/>
        <w:ind w:left="360" w:hanging="360"/>
      </w:pPr>
      <w:r>
        <w:rPr>
          <w:rFonts w:ascii="Times New Roman" w:hAnsi="Times New Roman"/>
          <w:i w:val="0"/>
          <w:sz w:val="20"/>
        </w:rPr>
        <w:t>37. Nathan, A., Asgari, S., Ishigaki, K., Valencia, C., Amariuta, T., Luo, Y. et al. Single-cell eQTL models reveal dynamic T cell state dependence of disease loci. Nature 606, 120-128 (2022).</w:t>
      </w:r>
    </w:p>
    <w:p>
      <w:pPr>
        <w:spacing w:after="40" w:line="240" w:lineRule="auto"/>
        <w:ind w:left="360" w:hanging="360"/>
      </w:pPr>
      <w:r>
        <w:rPr>
          <w:rFonts w:ascii="Times New Roman" w:hAnsi="Times New Roman"/>
          <w:i w:val="0"/>
          <w:sz w:val="20"/>
        </w:rPr>
        <w:t>38. Zhao, J. H., Stacey, D., Eriksson, N., Macdonald-Dunlop, E., Hedman, Å. K., Kalnapenkis, A., Enroth, S. et al. Genetics of circulating inflammatory proteins identifies drivers of immune-mediated disease risk and therapeutic targets. Nat. Immunol. 24, 1540-1551 (2023).</w:t>
      </w:r>
    </w:p>
    <w:p>
      <w:pPr>
        <w:spacing w:after="40" w:line="240" w:lineRule="auto"/>
        <w:ind w:left="360" w:hanging="360"/>
      </w:pPr>
      <w:r>
        <w:rPr>
          <w:rFonts w:ascii="Times New Roman" w:hAnsi="Times New Roman"/>
          <w:i w:val="0"/>
          <w:sz w:val="20"/>
        </w:rPr>
        <w:t>39. Folkersen, L., Gustafsson, S., Wang, Q., Hansen, D. H., Hedman, Å. K., Schork, A., Page, K. et al. Genomic and drug target evaluation of 90 cardiovascular proteins in 30,931 individuals. Nat. Metab. 2, 1135-1148 (2020).</w:t>
      </w:r>
    </w:p>
    <w:p>
      <w:pPr>
        <w:spacing w:after="40" w:line="240" w:lineRule="auto"/>
        <w:ind w:left="360" w:hanging="360"/>
      </w:pPr>
      <w:r>
        <w:rPr>
          <w:rFonts w:ascii="Times New Roman" w:hAnsi="Times New Roman"/>
          <w:i w:val="0"/>
          <w:sz w:val="20"/>
        </w:rPr>
        <w:t>40. Ahola-Olli, A. V., Würtz, P., Havulinna, A. S., Aalto, K., Pitkänen, N., Lehtimäki, T. et al. Genome-wide association study identifies 27 loci influencing concentrations of circulating cytokines and growth factors. Am. J. Hum. Genet. 100, 40-50 (2017).</w:t>
      </w:r>
    </w:p>
    <w:p>
      <w:pPr>
        <w:spacing w:after="40" w:line="240" w:lineRule="auto"/>
        <w:ind w:left="360" w:hanging="360"/>
      </w:pPr>
      <w:r>
        <w:rPr>
          <w:rFonts w:ascii="Times New Roman" w:hAnsi="Times New Roman"/>
          <w:i w:val="0"/>
          <w:sz w:val="20"/>
        </w:rPr>
        <w:t>41. Gudjonsson, A., Gudmundsdottir, V., Axelsson, G. T., Gudmundsson, E. F., Jonsson, B. G., Launer, L. J. et al. A genome-wide association study of serum proteins reveals shared loci with common diseases. Nat. Commun. 13, 480 (2022).</w:t>
      </w:r>
    </w:p>
    <w:p>
      <w:pPr>
        <w:spacing w:after="40" w:line="240" w:lineRule="auto"/>
        <w:ind w:left="360" w:hanging="360"/>
      </w:pPr>
      <w:r>
        <w:rPr>
          <w:rFonts w:ascii="Times New Roman" w:hAnsi="Times New Roman"/>
          <w:i w:val="0"/>
          <w:sz w:val="20"/>
        </w:rPr>
        <w:t>42. Sun, B. B., Maranville, J. C., Peters, J. E., Stacey, D., Staley, J. R., Blackshaw, J. et al. Genomic atlas of the human plasma proteome. Nature 558, 73-79 (2018).</w:t>
      </w:r>
    </w:p>
    <w:p>
      <w:pPr>
        <w:spacing w:after="40" w:line="240" w:lineRule="auto"/>
        <w:ind w:left="360" w:hanging="360"/>
      </w:pPr>
      <w:r>
        <w:rPr>
          <w:rFonts w:ascii="Times New Roman" w:hAnsi="Times New Roman"/>
          <w:i w:val="0"/>
          <w:sz w:val="20"/>
        </w:rPr>
        <w:t>43. The GTEx Consortium. The GTEx Consortium atlas of genetic regulatory effects across human tissues. Science 369, 1318-1330 (2020).</w:t>
      </w:r>
    </w:p>
    <w:p>
      <w:pPr>
        <w:spacing w:after="40" w:line="240" w:lineRule="auto"/>
        <w:ind w:left="360" w:hanging="360"/>
      </w:pPr>
      <w:r>
        <w:rPr>
          <w:rFonts w:ascii="Times New Roman" w:hAnsi="Times New Roman"/>
          <w:i w:val="0"/>
          <w:sz w:val="20"/>
        </w:rPr>
        <w:t>44. Ferreira, M. A., Vonk, J. M., Baurecht, H., Marenholz, I., Tian, C., Hoffman, J. D. et al. Shared genetic origin of asthma, hay fever and eczema elucidates allergic disease biology. Nat. Genet. 49, 1752-1757 (2017).</w:t>
      </w:r>
    </w:p>
    <w:p>
      <w:pPr>
        <w:spacing w:after="40" w:line="240" w:lineRule="auto"/>
        <w:ind w:left="360" w:hanging="360"/>
      </w:pPr>
      <w:r>
        <w:rPr>
          <w:rFonts w:ascii="Times New Roman" w:hAnsi="Times New Roman"/>
          <w:i w:val="0"/>
          <w:sz w:val="20"/>
        </w:rPr>
        <w:t>45. Zhu, Z., Lee, P. H., Chaffin, M. D., Chung, W., Loh, P. R., Lu, Q. et al. A genome-wide cross-trait analysis from UK Biobank highlights the shared genetic architecture of asthma and allergic diseases. Nat. Genet. 50, 857-864 (2018).</w:t>
      </w:r>
    </w:p>
    <w:p>
      <w:pPr>
        <w:spacing w:after="40" w:line="240" w:lineRule="auto"/>
        <w:ind w:left="360" w:hanging="360"/>
      </w:pPr>
      <w:r>
        <w:rPr>
          <w:rFonts w:ascii="Times New Roman" w:hAnsi="Times New Roman"/>
          <w:i w:val="0"/>
          <w:sz w:val="20"/>
        </w:rPr>
        <w:t>46. Ferreira, M. A. R., Mathur, R., Vonk, J. M., Szwajda, A., Brumpton, B., Granell, R. et al. Genetic architectures of childhood- and adult-onset asthma are partly distinct. Am. J. Hum. Genet. 104, 665-684 (2019).</w:t>
      </w:r>
    </w:p>
    <w:p>
      <w:pPr>
        <w:spacing w:after="40" w:line="240" w:lineRule="auto"/>
        <w:ind w:left="360" w:hanging="360"/>
      </w:pPr>
      <w:r>
        <w:rPr>
          <w:rFonts w:ascii="Times New Roman" w:hAnsi="Times New Roman"/>
          <w:i w:val="0"/>
          <w:sz w:val="20"/>
        </w:rPr>
        <w:t>47. Sakaue, S., Kanai, M., Tanigawa, Y., Karjalainen, J., Kurki, M., Koshiba, S. et al. A cross-population atlas of genetic associations for 220 human phenotypes. Nat. Genet. 53, 1415-1424 (2021).</w:t>
      </w:r>
    </w:p>
    <w:p>
      <w:pPr>
        <w:spacing w:after="40" w:line="240" w:lineRule="auto"/>
        <w:ind w:left="360" w:hanging="360"/>
      </w:pPr>
      <w:r>
        <w:rPr>
          <w:rFonts w:ascii="Times New Roman" w:hAnsi="Times New Roman"/>
          <w:i w:val="0"/>
          <w:sz w:val="20"/>
        </w:rPr>
        <w:t>48. Liang, L., Willis-Owen, S. A. G., Laprise, C., Wong, K. C. C., Davies, G. A., Hudson, T. J. et al. An epigenome-wide association study of total serum immunoglobulin E concentration. Nature 520, 670-674 (2015).</w:t>
      </w:r>
    </w:p>
    <w:p>
      <w:pPr>
        <w:spacing w:after="40" w:line="240" w:lineRule="auto"/>
        <w:ind w:left="360" w:hanging="360"/>
      </w:pPr>
      <w:r>
        <w:rPr>
          <w:rFonts w:ascii="Times New Roman" w:hAnsi="Times New Roman"/>
          <w:i w:val="0"/>
          <w:sz w:val="20"/>
        </w:rPr>
        <w:t>49. Pyrkov, T. V., Avchaciov, K., Tarkhov, A. E., Menshikov, L. I., Gudkov, A. V. &amp; Fedichev, P. O. Longitudinal analysis of blood markers reveals progressive loss of resilience and predicts human lifespan limit. Nat. Commun. 12, 2765 (2021).</w:t>
      </w:r>
    </w:p>
    <w:p>
      <w:pPr>
        <w:spacing w:after="40" w:line="240" w:lineRule="auto"/>
        <w:ind w:left="360" w:hanging="360"/>
      </w:pPr>
      <w:r>
        <w:rPr>
          <w:rFonts w:ascii="Times New Roman" w:hAnsi="Times New Roman"/>
          <w:i w:val="0"/>
          <w:sz w:val="20"/>
        </w:rPr>
        <w:t>50. Hammad, H. &amp; Lambrecht, B. N. The basic immunology of asthma. Cell 184, 1469-1485 (2021).</w:t>
      </w:r>
    </w:p>
    <w:p>
      <w:pPr>
        <w:spacing w:after="40" w:line="240" w:lineRule="auto"/>
        <w:ind w:left="360" w:hanging="360"/>
      </w:pPr>
      <w:r>
        <w:rPr>
          <w:rFonts w:ascii="Times New Roman" w:hAnsi="Times New Roman"/>
          <w:i w:val="0"/>
          <w:sz w:val="20"/>
        </w:rPr>
        <w:t>51. Alladina, J., Smith, N. P., Kooistra, T., Slowikowski, K., Kernin, I. J., Deguine, J. et al. A human model of asthma exacerbation reveals transcriptional programs and cell circuits specific to allergic asthma. Sci. Immunol. 8, eabq6352 (2023).</w:t>
      </w:r>
    </w:p>
    <w:p>
      <w:pPr>
        <w:spacing w:after="40" w:line="240" w:lineRule="auto"/>
        <w:ind w:left="360" w:hanging="360"/>
      </w:pPr>
      <w:r>
        <w:rPr>
          <w:rFonts w:ascii="Times New Roman" w:hAnsi="Times New Roman"/>
          <w:i w:val="0"/>
          <w:sz w:val="20"/>
        </w:rPr>
        <w:t>52. Gabay, C., Fautrel, B., Rech, J., Spertini, F., Feist, E., Kötter, I. et al. Open-label, multicentre, dose-escalating phase II clinical trial on the safety and efficacy of tadekinig alfa (IL-18BP) in adult-onset Still's disease. Ann. Rheum. Dis. 77, 840-847 (2018).</w:t>
      </w:r>
    </w:p>
    <w:p>
      <w:pPr>
        <w:spacing w:after="40" w:line="240" w:lineRule="auto"/>
        <w:ind w:left="360" w:hanging="360"/>
      </w:pPr>
      <w:r>
        <w:rPr>
          <w:rFonts w:ascii="Times New Roman" w:hAnsi="Times New Roman"/>
          <w:i w:val="0"/>
          <w:sz w:val="20"/>
        </w:rPr>
        <w:t>53. Trzeciak, M., Gleń, J., Bandurski, T., Sokołowska-Wojdyło, M., Wilkowska, A. &amp; Roszkiewicz, J. Relationship between serum levels of interleukin-18, IgE and disease severity in patients with atopic dermatitis. Clin. Exp. Dermatol. 36, 728-732 (2011).</w:t>
      </w:r>
    </w:p>
    <w:p>
      <w:pPr>
        <w:spacing w:after="40" w:line="240" w:lineRule="auto"/>
        <w:ind w:left="360" w:hanging="360"/>
      </w:pPr>
      <w:r>
        <w:rPr>
          <w:rFonts w:ascii="Times New Roman" w:hAnsi="Times New Roman"/>
          <w:i w:val="0"/>
          <w:sz w:val="20"/>
        </w:rPr>
        <w:t>54. Ochoa, D., Hercules, A., Carmona, M., Suveges, D., Baker, J., Malangone, C. et al. The next-generation Open Targets Platform: reimagined, redesigned, rebuilt. Nucleic Acids Res. 51, D1353-D1359 (2023).</w:t>
      </w:r>
    </w:p>
    <w:p>
      <w:pPr>
        <w:spacing w:after="40" w:line="240" w:lineRule="auto"/>
        <w:ind w:left="360" w:hanging="360"/>
      </w:pPr>
      <w:r>
        <w:rPr>
          <w:rFonts w:ascii="Times New Roman" w:hAnsi="Times New Roman"/>
          <w:i w:val="0"/>
          <w:sz w:val="20"/>
        </w:rPr>
        <w:t>55. Karczewski, K. J., Solomonson, M., Chao, K. R., Goodrich, J. K., Tiao, G., Lu, W. et al. Systematic single-variant and gene-based association testing of thousands of phenotypes in 394,841 UK Biobank exomes. Cell Genom. 2, 100168 (2022).</w:t>
      </w:r>
    </w:p>
    <w:p>
      <w:pPr>
        <w:spacing w:after="40" w:line="240" w:lineRule="auto"/>
        <w:ind w:left="360" w:hanging="360"/>
      </w:pPr>
      <w:r>
        <w:rPr>
          <w:rFonts w:ascii="Times New Roman" w:hAnsi="Times New Roman"/>
          <w:i w:val="0"/>
          <w:sz w:val="20"/>
        </w:rPr>
        <w:t>56. Long, A., Rahmaoui, A., Rothman, K. J., Guinan, E., Eisner, M., Bradley, M. S. et al. Incidence of malignancy in patients with moderate-to-severe asthma treated with or without omalizumab. J. Allergy Clin. Immunol. 134, 560-567.e4 (2014).</w:t>
      </w:r>
    </w:p>
    <w:p>
      <w:pPr>
        <w:spacing w:after="40" w:line="240" w:lineRule="auto"/>
        <w:ind w:left="360" w:hanging="360"/>
      </w:pPr>
      <w:r>
        <w:rPr>
          <w:rFonts w:ascii="Times New Roman" w:hAnsi="Times New Roman"/>
          <w:i w:val="0"/>
          <w:sz w:val="20"/>
        </w:rPr>
        <w:t>57. Bate, A. &amp; Evans, S. J. W. Quantitative signal detection using spontaneous ADR reporting. Pharmacoepidemiol. Drug Saf. 18, 427-436 (2009).</w:t>
      </w:r>
    </w:p>
    <w:p>
      <w:pPr>
        <w:spacing w:after="40" w:line="240" w:lineRule="auto"/>
        <w:ind w:left="360" w:hanging="360"/>
      </w:pPr>
      <w:r>
        <w:rPr>
          <w:rFonts w:ascii="Times New Roman" w:hAnsi="Times New Roman"/>
          <w:i w:val="0"/>
          <w:sz w:val="20"/>
        </w:rPr>
        <w:t>58. McCartney, D. L., Min, J. L., Richmond, R. C., Lu, A. T., Sobczyk, M. K., Davies, G. et al. Genome-wide association studies identify 137 genetic loci for DNA methylation biomarkers of aging. Genome Biol. 22, 194 (2021).</w:t>
      </w:r>
    </w:p>
    <w:p>
      <w:pPr>
        <w:spacing w:after="40" w:line="240" w:lineRule="auto"/>
        <w:ind w:left="360" w:hanging="360"/>
      </w:pPr>
      <w:r>
        <w:rPr>
          <w:rFonts w:ascii="Times New Roman" w:hAnsi="Times New Roman"/>
          <w:i w:val="0"/>
          <w:sz w:val="20"/>
        </w:rPr>
        <w:t>59. Astle, W. J., Elding, H., Jiang, T., Allen, D., Ruklisa, D., Mann, A. L. et al. The allelic landscape of human blood cell trait variation and links to common complex disease. Cell 167, 1415-1429.e19 (2016).</w:t>
      </w:r>
    </w:p>
    <w:p>
      <w:pPr>
        <w:spacing w:after="40" w:line="240" w:lineRule="auto"/>
        <w:ind w:left="360" w:hanging="360"/>
      </w:pPr>
      <w:r>
        <w:rPr>
          <w:rFonts w:ascii="Times New Roman" w:hAnsi="Times New Roman"/>
          <w:i w:val="0"/>
          <w:sz w:val="20"/>
        </w:rPr>
        <w:t>60. Doherty, T. A., Soroosh, P., Khorram, N., Fukuyama, S., Rosenthal, P., Cho, J. Y. et al. The tumor necrosis factor family member LIGHT is a target for asthmatic airway remodeling. Nat. Med. 17, 596-603 (2011).</w:t>
      </w:r>
    </w:p>
    <w:p>
      <w:pPr>
        <w:spacing w:after="40" w:line="240" w:lineRule="auto"/>
        <w:ind w:left="360" w:hanging="360"/>
      </w:pPr>
      <w:r>
        <w:rPr>
          <w:rFonts w:ascii="Times New Roman" w:hAnsi="Times New Roman"/>
          <w:i w:val="0"/>
          <w:sz w:val="20"/>
        </w:rPr>
        <w:t>61. Martin, A. R., Kanai, M., Kamatani, Y., Okada, Y., Neale, B. M. &amp; Daly, M. J. Clinical use of current polygenic risk scores may exacerbate health disparities. Nat. Genet. 51, 584-591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