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Supplementary Information</w:t>
      </w:r>
    </w:p>
    <w:p>
      <w:pPr>
        <w:pStyle w:val="Heading1"/>
      </w:pPr>
      <w:r>
        <w:rPr>
          <w:rFonts w:ascii="Times New Roman" w:hAnsi="Times New Roman"/>
          <w:color w:val="000000"/>
        </w:rPr>
        <w:t>A functional frailty dimension shares genetic architecture with allergic disease</w:t>
      </w:r>
    </w:p>
    <w:p>
      <w:pPr>
        <w:spacing w:after="120" w:line="480" w:lineRule="auto"/>
      </w:pPr>
      <w:r>
        <w:rPr>
          <w:rFonts w:ascii="Times New Roman" w:hAnsi="Times New Roman"/>
          <w:b/>
          <w:i w:val="0"/>
          <w:sz w:val="24"/>
        </w:rPr>
        <w:t>Authors:</w:t>
      </w:r>
      <w:r>
        <w:rPr>
          <w:rFonts w:ascii="Times New Roman" w:hAnsi="Times New Roman"/>
          <w:i w:val="0"/>
          <w:sz w:val="24"/>
        </w:rPr>
        <w:t xml:space="preserve"> Hongjuan Fang</w:t>
      </w:r>
      <w:r>
        <w:rPr>
          <w:rFonts w:ascii="Times New Roman" w:hAnsi="Times New Roman"/>
          <w:i w:val="0"/>
          <w:sz w:val="24"/>
          <w:vertAlign w:val="superscript"/>
        </w:rPr>
        <w:t>1</w:t>
      </w:r>
      <w:r>
        <w:rPr>
          <w:rFonts w:ascii="Times New Roman" w:hAnsi="Times New Roman"/>
          <w:i w:val="0"/>
          <w:sz w:val="24"/>
        </w:rPr>
        <w:t>,</w:t>
      </w:r>
      <w:r>
        <w:rPr>
          <w:rFonts w:ascii="Times New Roman" w:hAnsi="Times New Roman"/>
          <w:i w:val="0"/>
          <w:sz w:val="24"/>
          <w:vertAlign w:val="superscript"/>
        </w:rPr>
        <w:t>*</w:t>
      </w:r>
      <w:r>
        <w:rPr>
          <w:rFonts w:ascii="Times New Roman" w:hAnsi="Times New Roman"/>
          <w:i w:val="0"/>
          <w:sz w:val="24"/>
        </w:rPr>
        <w:t>, Lijuan Bu</w:t>
      </w:r>
      <w:r>
        <w:rPr>
          <w:rFonts w:ascii="Times New Roman" w:hAnsi="Times New Roman"/>
          <w:i w:val="0"/>
          <w:sz w:val="24"/>
          <w:vertAlign w:val="superscript"/>
        </w:rPr>
        <w:t>2</w:t>
      </w:r>
      <w:r>
        <w:rPr>
          <w:rFonts w:ascii="Times New Roman" w:hAnsi="Times New Roman"/>
          <w:i w:val="0"/>
          <w:sz w:val="24"/>
        </w:rPr>
        <w:t>, Lili Wang</w:t>
      </w:r>
      <w:r>
        <w:rPr>
          <w:rFonts w:ascii="Times New Roman" w:hAnsi="Times New Roman"/>
          <w:i w:val="0"/>
          <w:sz w:val="24"/>
          <w:vertAlign w:val="superscript"/>
        </w:rPr>
        <w:t>2</w:t>
      </w:r>
      <w:r>
        <w:rPr>
          <w:rFonts w:ascii="Times New Roman" w:hAnsi="Times New Roman"/>
          <w:i w:val="0"/>
          <w:sz w:val="24"/>
        </w:rPr>
        <w:t>, Qiang Wang</w:t>
      </w:r>
      <w:r>
        <w:rPr>
          <w:rFonts w:ascii="Times New Roman" w:hAnsi="Times New Roman"/>
          <w:i w:val="0"/>
          <w:sz w:val="24"/>
          <w:vertAlign w:val="superscript"/>
        </w:rPr>
        <w:t>2</w:t>
      </w:r>
      <w:r>
        <w:rPr>
          <w:rFonts w:ascii="Times New Roman" w:hAnsi="Times New Roman"/>
          <w:i w:val="0"/>
          <w:sz w:val="24"/>
        </w:rPr>
        <w:t>,</w:t>
      </w:r>
      <w:r>
        <w:rPr>
          <w:rFonts w:ascii="Times New Roman" w:hAnsi="Times New Roman"/>
          <w:i w:val="0"/>
          <w:sz w:val="24"/>
          <w:vertAlign w:val="superscript"/>
        </w:rPr>
        <w:t>*</w:t>
      </w:r>
      <w:r>
        <w:rPr>
          <w:rFonts w:ascii="Times New Roman" w:hAnsi="Times New Roman"/>
          <w:i w:val="0"/>
          <w:sz w:val="24"/>
        </w:rPr>
        <w:t xml:space="preserve"> </w:t>
      </w:r>
      <w:r>
        <w:rPr>
          <w:rFonts w:ascii="Times New Roman" w:hAnsi="Times New Roman"/>
          <w:i w:val="0"/>
          <w:sz w:val="24"/>
          <w:vertAlign w:val="superscript"/>
        </w:rPr>
        <w:t>1</w:t>
      </w:r>
      <w:r>
        <w:rPr>
          <w:rFonts w:ascii="Times New Roman" w:hAnsi="Times New Roman"/>
          <w:i w:val="0"/>
          <w:sz w:val="24"/>
        </w:rPr>
        <w:t xml:space="preserve"> Department of Endocrinology, Aviation General Hospital, Beijing 100012, China; </w:t>
      </w:r>
      <w:r>
        <w:rPr>
          <w:rFonts w:ascii="Times New Roman" w:hAnsi="Times New Roman"/>
          <w:i w:val="0"/>
          <w:sz w:val="24"/>
          <w:vertAlign w:val="superscript"/>
        </w:rPr>
        <w:t>2</w:t>
      </w:r>
      <w:r>
        <w:rPr>
          <w:rFonts w:ascii="Times New Roman" w:hAnsi="Times New Roman"/>
          <w:i w:val="0"/>
          <w:sz w:val="24"/>
        </w:rPr>
        <w:t xml:space="preserve"> Chinese PLA Center for Disease Control and Prevention, Beijing 100071, China</w:t>
      </w:r>
    </w:p>
    <w:p>
      <w:pPr>
        <w:pStyle w:val="Heading1"/>
      </w:pPr>
      <w:r>
        <w:rPr>
          <w:rFonts w:ascii="Times New Roman" w:hAnsi="Times New Roman"/>
          <w:color w:val="000000"/>
        </w:rPr>
        <w:t>Contents</w:t>
      </w:r>
    </w:p>
    <w:p>
      <w:pPr>
        <w:pStyle w:val="ListBullet"/>
        <w:spacing w:after="120"/>
      </w:pPr>
      <w:r>
        <w:rPr>
          <w:rFonts w:ascii="Times New Roman" w:hAnsi="Times New Roman"/>
          <w:i w:val="0"/>
          <w:sz w:val="24"/>
        </w:rPr>
        <w:t>Supplementary Note 1. Guide to the Supplementary Tables</w:t>
      </w:r>
    </w:p>
    <w:p>
      <w:pPr>
        <w:pStyle w:val="ListBullet"/>
        <w:spacing w:after="120"/>
      </w:pPr>
      <w:r>
        <w:rPr>
          <w:rFonts w:ascii="Times New Roman" w:hAnsi="Times New Roman"/>
          <w:i w:val="0"/>
          <w:sz w:val="24"/>
        </w:rPr>
        <w:t>Supplementary Note 2. Known limitations and sensitivity statement</w:t>
      </w:r>
    </w:p>
    <w:p>
      <w:pPr>
        <w:pStyle w:val="ListBullet"/>
        <w:spacing w:after="120"/>
      </w:pPr>
      <w:r>
        <w:rPr>
          <w:rFonts w:ascii="Times New Roman" w:hAnsi="Times New Roman"/>
          <w:i w:val="0"/>
          <w:sz w:val="24"/>
        </w:rPr>
        <w:t>Supplementary Note 3. Revision synthesis: reviewer critiques mapped to R5 analyses</w:t>
      </w:r>
    </w:p>
    <w:p>
      <w:pPr>
        <w:pStyle w:val="ListBullet"/>
        <w:spacing w:after="120"/>
      </w:pPr>
      <w:r>
        <w:rPr>
          <w:rFonts w:ascii="Times New Roman" w:hAnsi="Times New Roman"/>
          <w:i w:val="0"/>
          <w:sz w:val="24"/>
        </w:rPr>
        <w:t>Supplementary Note 4. R6 evidence-strengthening analyses (replication, LDSC, multivariable MR, multi-signal colocalization, index validity, targeted on-target safety MR scan)</w:t>
      </w:r>
    </w:p>
    <w:p>
      <w:pPr>
        <w:pStyle w:val="ListBullet"/>
        <w:spacing w:after="120"/>
      </w:pPr>
      <w:r>
        <w:rPr>
          <w:rFonts w:ascii="Times New Roman" w:hAnsi="Times New Roman"/>
          <w:i w:val="0"/>
          <w:sz w:val="24"/>
        </w:rPr>
        <w:t>Supplementary Note 5. R7 evidence-elevation analyses (phenome-wide MR specificity scan, HRS longitudinal validation, OneK1K remediation and independent cell-type MR, blood-cell-trait decomposition, single-cell ageing atlas and target localization)</w:t>
      </w:r>
    </w:p>
    <w:p>
      <w:pPr>
        <w:pStyle w:val="ListBullet"/>
        <w:spacing w:after="120"/>
      </w:pPr>
      <w:r>
        <w:rPr>
          <w:rFonts w:ascii="Times New Roman" w:hAnsi="Times New Roman"/>
          <w:i w:val="0"/>
          <w:sz w:val="24"/>
        </w:rPr>
        <w:t>Supplementary Note 6. R8 in silico substitution analyses (onset-stratified asthma MR/LDSC, molecular mediation MR, tissue-context eQTL, human gene burden)</w:t>
      </w:r>
    </w:p>
    <w:p>
      <w:pPr>
        <w:pStyle w:val="ListBullet"/>
        <w:spacing w:after="120"/>
      </w:pPr>
      <w:r>
        <w:rPr>
          <w:rFonts w:ascii="Times New Roman" w:hAnsi="Times New Roman"/>
          <w:i w:val="0"/>
          <w:sz w:val="24"/>
        </w:rPr>
        <w:t>Supplementary Note 7. R9 editorial-revision robustness analyses (coloc prior sensitivity, LDSC external benchmark, HRS companion analyses with early-warning confirmation, pQTL replication)</w:t>
      </w:r>
    </w:p>
    <w:p>
      <w:pPr>
        <w:pStyle w:val="ListBullet"/>
        <w:spacing w:after="120"/>
      </w:pPr>
      <w:r>
        <w:rPr>
          <w:rFonts w:ascii="Times New Roman" w:hAnsi="Times New Roman"/>
          <w:i w:val="0"/>
          <w:sz w:val="24"/>
        </w:rPr>
        <w:t>Supplementary Note 8. P2 East Asian (Biobank Japan) cross-ancestry replication</w:t>
      </w:r>
    </w:p>
    <w:p>
      <w:pPr>
        <w:pStyle w:val="ListBullet"/>
        <w:spacing w:after="120"/>
      </w:pPr>
      <w:r>
        <w:rPr>
          <w:rFonts w:ascii="Times New Roman" w:hAnsi="Times New Roman"/>
          <w:i w:val="0"/>
          <w:sz w:val="24"/>
        </w:rPr>
        <w:t>Supplementary Note 9. R11 reframing and robustness analyses (index construct, TNFSF14 instrument sensitivity, incident-cohort engine)</w:t>
      </w:r>
    </w:p>
    <w:p>
      <w:pPr>
        <w:pStyle w:val="ListBullet"/>
        <w:spacing w:after="120"/>
      </w:pPr>
      <w:r>
        <w:rPr>
          <w:rFonts w:ascii="Times New Roman" w:hAnsi="Times New Roman"/>
          <w:i w:val="0"/>
          <w:sz w:val="24"/>
        </w:rPr>
        <w:t>Supplementary Note 10. Post-hoc strengthening analyses (target pQTL meta-analysis, type-2 spectrum MR, non-HLA and healthspan re-adjudication, genetic-level eosinophil decomposition, frailty-versus-clock rg contrasts and Steiger directionality audit, canonical LDSC re-computation and MHC sensitivity, donor-level single-cell expression-age analysis, target trial emulation, gene-level triangulation and drug connectivity, set-point drift model)</w:t>
      </w:r>
    </w:p>
    <w:p>
      <w:pPr>
        <w:pStyle w:val="ListBullet"/>
        <w:spacing w:after="120"/>
      </w:pPr>
      <w:r>
        <w:rPr>
          <w:rFonts w:ascii="Times New Roman" w:hAnsi="Times New Roman"/>
          <w:i w:val="0"/>
          <w:sz w:val="24"/>
        </w:rPr>
        <w:t>Supplementary Tables 1-117 and 124-156 (legends; data provided as separate files ST01-ST117 and ST124-ST156, with ST116b as a companion to ST116, ST135b to ST135, ST139b to ST139, ST141b to ST141, ST154b to ST154 and ST17b to ST17)</w:t>
      </w:r>
    </w:p>
    <w:p>
      <w:pPr>
        <w:pStyle w:val="ListBullet"/>
        <w:spacing w:after="120"/>
      </w:pPr>
      <w:r>
        <w:rPr>
          <w:rFonts w:ascii="Times New Roman" w:hAnsi="Times New Roman"/>
          <w:i w:val="0"/>
          <w:sz w:val="24"/>
        </w:rPr>
        <w:t>Supplementary Figures 1-16 (files in `supplementary_figures/`; Supplementary Fig. 9 is descriptive and its cell-level source data are retained in the code repository)</w:t>
      </w:r>
    </w:p>
    <w:p>
      <w:pPr>
        <w:pStyle w:val="Heading1"/>
      </w:pPr>
      <w:r>
        <w:rPr>
          <w:rFonts w:ascii="Times New Roman" w:hAnsi="Times New Roman"/>
          <w:color w:val="000000"/>
        </w:rPr>
        <w:t>Supplementary Note 1. Guide to the Supplementary Tables</w:t>
      </w:r>
    </w:p>
    <w:p>
      <w:pPr>
        <w:spacing w:after="120" w:line="480" w:lineRule="auto"/>
      </w:pPr>
      <w:r>
        <w:rPr>
          <w:rFonts w:ascii="Times New Roman" w:hAnsi="Times New Roman"/>
          <w:i w:val="0"/>
          <w:sz w:val="24"/>
        </w:rPr>
        <w:t>Supplementary Tables 1-117 and 124-156 contain the complete derived result set underlying every quantitative claim in the main text. Each table is provided as a separate machine-readable file (ST01-ST117 and ST124-ST156, with ST116b as a companion to ST116, ST135b to ST135, ST139b to ST139, ST141b to ST141, ST154b to ST154 and ST17b to ST17) accompanying this document; an index (`supplementary_data_index.csv`) maps table numbers to source files and row counts. Tables are grouped by evidence layer: main Mendelian randomization (ST1-ST13), NHANES population validation (ST14-ST21), mechanistic triangulation at 5q31, cell-type MR and methylome convergence (ST22-ST40), translational analyses including proteome MR and pharmacovigilance (ST41-ST56), and the R6 evidence-strengthening analyses, independent-cohort replication and meta-analysis (ST57-ST58), LD score regression (ST59-ST60, ST76), multivariable MR and frailty-instrument sensitivity (ST61-ST65), 5q31 multi-signal colocalization and SMR/HEIDI (ST66-ST69), NHANES index validity (ST70-ST73), targeted on-target safety MR scan (ST74-ST75), and editorial-revision construct-validity analyses (MHC-free rg verification and instrument consistency, ST77-ST78; LDSC simulation calibration, ST79). The R7 evidence-elevation analyses follow: phenome-wide MR specificity scan and sensitivity battery (ST80-ST82), HRS longitudinal validation (ST83-ST86), OneK1K remediation and independent cell-type MR (ST87-ST88), blood-cell-trait decomposition MR (ST89), and single-cell atlas analyses (ST90-ST93). The R8 in silico substitution analyses follow: onset-stratified asthma MR and LDSC (ST94-ST98), molecular mediation MR (ST99), GTEx tissue-context eQTL analysis (ST100), and human gene-burden lookup (ST101). The R9 editorial-revision robustness analyses complete the set: coloc prior-sensitivity recomputation (ST102), the LDSC external benchmark against published official-LDSR estimates (ST103), the HRS companion tables (ST104-ST105), and the pQTL cross-cohort/cross-platform replication (ST106). The P2 cross-ancestry replication in Biobank Japan follows: the primary BBJ-rebuilt index MR (ST107), the full linear-combination sensitivity (ST108), component-level MR (ST109), per-SNP sign concordance (ST110) and the SNP alignment audit (ST111). The R11 reframing and robustness analyses follow: the incident-allergy cohort synthetic validation (ST112), the TNFSF14 multiplatform sensitivity (ST113), the IL4 independent OneK1K check and validation search (ST114-ST115), the immune-atlas Treg IL4 and ageing analysis (ST116, with ST116b as companion per-donor detail), the epigenetic-clock validity check in GSE40279 (ST117), the index weight sensitivity (ST124) and the independent ageing-exposure MR and LDSC analyses (ST125-ST126). The post-hoc strengthening analyses complete the set: the HELIC Olink IL18 replication (ST127), the pQTL cross-platform meta-analysis (ST128), the Open Targets constraint lookup (ST129) and the type-2 disease-spectrum MR in Pan-UK Biobank (ST130), the non-HLA frailty re-adjudication (ST131) and the external healthspan dimension re-adjudication (ST132). The editorial-revision analyses complete the set: the genetic-level eosinophil decomposition (ST133) and its independent-cohort replication in Pan-UK Biobank (ST136), the formal frailty-versus-clock rg contrasts (ST134) and the Steiger directionality audit (ST135, with per-SNP detail ST135b), the canonical Bulik-Sullivan LDSC re-computation with MHC sensitivity (ST137) and the canonical frailty-versus-clock rg contrasts (ST138), the donor-level single-cell atlas expression-age layer (ST139-ST145; Supplementary Figs. 11, 12, 14), the NHANES target-trial emulation (ST146, ST152; Supplementary Fig. 6) and the gene-level triangulation and drug-connectivity layer (ST147-ST151). The R21 formal set-point drift model analyses complete the set: drift parameters (ST153), variance-resilience tests (ST154, ST154b), drift shape and gain invariance (ST155), and drift specificity with hinge slopes (ST156), with the interaction power analysis deposited as ST17b. Supplementary Tables ST118-ST123 belong to the companion paper on the ALDH2/aldehyde axis and are not part of this deposit.</w:t>
      </w:r>
    </w:p>
    <w:p>
      <w:pPr>
        <w:pStyle w:val="Heading1"/>
      </w:pPr>
      <w:r>
        <w:rPr>
          <w:rFonts w:ascii="Times New Roman" w:hAnsi="Times New Roman"/>
          <w:color w:val="000000"/>
        </w:rPr>
        <w:t>Supplementary Note 2. Known limitations and sensitivity statement</w:t>
      </w:r>
    </w:p>
    <w:p>
      <w:pPr>
        <w:spacing w:after="120" w:line="480" w:lineRule="auto"/>
      </w:pPr>
      <w:r>
        <w:rPr>
          <w:rFonts w:ascii="Times New Roman" w:hAnsi="Times New Roman"/>
          <w:i w:val="0"/>
          <w:sz w:val="24"/>
        </w:rPr>
        <w:t>Thirteen limitations are declared for completeness. First, cross-cohort effect-size heterogeneity is substantial (I2 = 90-99% in all three replication meta-analyses; for atopic dermatitis the smaller EAGLE cohort was discordant at OR 0.75, P = 0.27, while the pre-specified primary source (the Budu-Aggrey EUR meta-analysis, restored after an initial disk-related omission) replicated decisively at OR 2.66, 2.45-2.89), so replication establishes direction and robustness rather than a precise magnitude; LD score regression correlations requested in earlier rounds are now provided (ST59-ST60) and corroborate the frailty-versus-clock adjudication. Second, the OneK1K single-cell eQTL resource initially showed an unresolved instrument-harmonization discrepancy; the R7 remediation resolved this as a coverage/power property (DICE target genes only partially represented in OneK1K; exact lead SNP present in 7 of 33 pairs) and added independent-instrument analyses whose FDR-significant signals involve a different gene set (TNF, IL6, GATA3, RORC); cell-type MR claims rest on DICE, with OneK1K reported as evidence for an adjacent cell-gene architecture rather than corroboration of the DICE IL4-axis findings (Supplementary Note 5). Third, positive-control cis-pQTL MR used single-SNP instruments (F approximately 10-13) and is reported as underpowered and inconclusive rather than falsifying. Fourth, pharmacovigilance analyses are spontaneous-report based and confounded by indication and market presence; the omalizumab immunosenescence signal is explicitly flagged for confounder-adjusted interpretation and is not claimed as a class effect. Fifth, no incident-allergy cohort was available at analysis time: all allergic-outcome evidence is from lifelong case-control GWAS and prevalent survey data, so the type-2 set-point model is tested against prevalence rather than onset (a synthetic-validated incident-cohort pipeline awaits UK Biobank / All of Us extracts); within the three outcomes, the asthma and rhinitis arms now carry direction-level East-Asian support, whereas the atopic-dermatitis arm is bounded to European ancestry (Ninth, below). Sixth, the pQTL screen interrogates the circulating compartment, the positive-control type-2 cytokines were underpowered nulls, the on-target safety scan bounds lifelong genetic proxies rather than pharmacological modulation, and the mediation and gene-burden analyses were power-bounded nulls. Seventh, the target nominations are confined to atopic dermatitis and European ancestry, and the TNFSF14 replication is single-instrument-dependent and single-platform-type (rs413141 carries 71% of the inverse-variance weight; the cross-platform meta-analysis remains SomaScan-only, I2 = 68%; ST113, ST128); no target reached functional validation, so all target claims remain hypothesis-generating. Eighth, multi-signal colocalization at 5q31 used an approximation that can overstate PP.H4; the headline atopic-dermatitis signal survives conventional but not the strictest prior, and the rhinitis signal is single-SNP-driven (ST102); these are reported as suggestive. Ninth, cross-ancestry replication re-used European SNPs without East-Asian LD re-selection; its asthma/rhinitis support is marginal (fixed-effect FDR &lt; 0.05), heterogeneous and estimator-sensitive (the random-effects and weighted-median estimators do not independently reproduce the asthma association; ST107), while the atopic-dermatitis association was direction-discordant and its cross-ancestry status is formally non-adjudicable because Biobank Japan atopic dermatitis fell below the heritability threshold for cross-population genetic-correlation estimation (Supplementary Note 8). Tenth, elevated cross-intercepts were observed among same-consortium trait pairs in the in-house LD score regression (clock-clock 0.34-0.47; allergy-allergy 0.16-0.34); although the headline frailty genetic correlations were reproduced by an independent implementation on the same summary statistics (ST126), these secondary-pair caveats remain. The reproduction is by a third-party Python-3 port rather than the canonical Bulik-Sullivan ldsc (Python-2-only and not runnable here), and the external benchmark (ST103) covers SNP heritability and clock-clock correlations but not the frailty-allergy correlations that carry the dimension contrast, so those correlations await independent canonical re-computation. Eleventh, pharmacovigilance signals derive from spontaneous reporting with channelling and indication biases, and the clinical-trial registry null (0 of 11,713 records) is a parsing/coverage property of the data dump rather than verified absence of reporting. Twelfth, many analyses (including the R7 and R8 evidence layers and the P2 cross-ancestry replication, the latter executed under a pre-written runbook but after the initial submission timeline) were added post hoc relative to the R6 analysis plan; no external pre-registration timestamp was obtained at analysis time, so the a priori property of the R5/R6 analyses rests on file provenance and Zenodo archival; and the genetic instruments were drawn predominantly from European-ancestry GWAS. Thirteenth, the genetic-level eosinophil decomposition (ST133) used a single outcome cohort (FinnGen); its independent replication in Pan-UK Biobank (ST136) reproduced the rhinitis result but did not reproduce the asthma result (the eosinophil-free asthma signal was positive and significant in UK Biobank, indicating that the FinnGen attenuation reflects limited power rather than eosinophil carriage), and the winner's-curse re-estimation re-uses panels that largely overlap the final index and is a stability check rather than an independent correction.</w:t>
      </w:r>
    </w:p>
    <w:p>
      <w:pPr>
        <w:pStyle w:val="Heading1"/>
      </w:pPr>
      <w:r>
        <w:rPr>
          <w:rFonts w:ascii="Times New Roman" w:hAnsi="Times New Roman"/>
          <w:color w:val="000000"/>
        </w:rPr>
        <w:t>Supplementary Note 3. Revision synthesis: reviewer critiques mapped to R5 analyses</w:t>
      </w:r>
    </w:p>
    <w:p>
      <w:pPr>
        <w:spacing w:after="120" w:line="480" w:lineRule="auto"/>
      </w:pPr>
      <w:r>
        <w:rPr>
          <w:rFonts w:ascii="Times New Roman" w:hAnsi="Times New Roman"/>
          <w:i w:val="0"/>
          <w:sz w:val="24"/>
        </w:rPr>
        <w:t>This revision round responded to four survival-level critiques from the previous round. (i) Circularity of the "ageing" label (the composite index is blood-cell-based and ageing GWAS themselves depend on blood traits): addressed by five orthogonal ageing instruments and an analysis plan specified a priori, adjudicating path C, the frailty dimension, rather than the epigenetic clocks, is the dimension associated with allergic susceptibility. (ii) Winner's curse inflating the composite-index odds ratios: addressed by a three-sample design (Astle selection, Pan-UKBB estimation, FinnGen outcome); corrected and naive estimates were nearly identical (OR 1.678 vs 1.645), a stability check rather than an independent correction because the panels overlap (Limitations). (iii) Unweighted NHANES analyses overestimating effects: addressed by complex-survey-weighted estimation with cluster-robust standard errors; weighting shifted estimates by +8.5%, below the a priori 30% materiality threshold. (iv) The IL4 paradox (dupilumab efficacy versus apparent genetic IL4 protection): partially resolved by colocalization, showing whole-blood IL4 protection to be a linkage-disequilibrium artefact (PP.H3 approximately 0.97-1.00) while IL4 expression in naive regulatory T cells provides a candidate cell-type-specific signal (PP.H4 = 0.79-0.92 in the initial single-variant analysis; refined by R6 multi-signal colocalization and reported as hypothesis-generating; see Supplementary Note 4).</w:t>
      </w:r>
    </w:p>
    <w:p>
      <w:pPr>
        <w:pStyle w:val="Heading1"/>
      </w:pPr>
      <w:r>
        <w:rPr>
          <w:rFonts w:ascii="Times New Roman" w:hAnsi="Times New Roman"/>
          <w:color w:val="000000"/>
        </w:rPr>
        <w:t>Supplementary Note 4. R6 evidence-strengthening analyses</w:t>
      </w:r>
    </w:p>
    <w:p>
      <w:pPr>
        <w:spacing w:after="120" w:line="480" w:lineRule="auto"/>
      </w:pPr>
      <w:r>
        <w:rPr>
          <w:rFonts w:ascii="Times New Roman" w:hAnsi="Times New Roman"/>
          <w:i w:val="0"/>
          <w:sz w:val="24"/>
        </w:rPr>
        <w:t>Six analyses specified a priori in an R6 analysis plan (since registered on the Open Science Framework, project osf.io/f4v79; registrations qm2hy (2026-09-20) and f9d3w (2026-09-25, post-hoc layers), both after the R6 analyses) closed the evidence gaps identified by external editorial feedback.</w:t>
      </w:r>
    </w:p>
    <w:p>
      <w:pPr>
        <w:spacing w:after="120" w:line="480" w:lineRule="auto"/>
      </w:pPr>
      <w:r>
        <w:rPr>
          <w:rFonts w:ascii="Times New Roman" w:hAnsi="Times New Roman"/>
          <w:b/>
          <w:i w:val="0"/>
          <w:sz w:val="24"/>
        </w:rPr>
        <w:t>(i) Independent replication (ST57-ST58).</w:t>
      </w:r>
      <w:r>
        <w:rPr>
          <w:rFonts w:ascii="Times New Roman" w:hAnsi="Times New Roman"/>
          <w:i w:val="0"/>
          <w:sz w:val="24"/>
        </w:rPr>
        <w:t xml:space="preserve"> The frailty effect replicated for asthma in all three independent sources (Han UK Biobank OR 2.25; TAGC OR 1.58; Neale OR 1.08; random-effects meta-analysis OR 2.39, 95% CI 1.63-3.50) and for rhinitis in UK Biobank Neale (OR 1.15); for atopic dermatitis, the pre-specified primary source (Budu-Aggrey EUR meta, 98 SNPs) replicated decisively (OR 2.66, 2.45-2.89; primary meta-analysis random-effects OR 1.97, 1.09-3.55, P = 0.024), while the smaller EAGLE cohort (a constituent of that meta-analysis) was discordant and imprecise (OR 0.75, P = 0.27, 17 SNPs) in the sensitivity scheme; the a priori decision rule is therefore satisfied for all three outcomes. The composite haematological type-2 index replicated across all six sources.</w:t>
      </w:r>
    </w:p>
    <w:p>
      <w:pPr>
        <w:spacing w:after="120" w:line="480" w:lineRule="auto"/>
      </w:pPr>
      <w:r>
        <w:rPr>
          <w:rFonts w:ascii="Times New Roman" w:hAnsi="Times New Roman"/>
          <w:b/>
          <w:i w:val="0"/>
          <w:sz w:val="24"/>
        </w:rPr>
        <w:t>(ii) LD score regression (ST59-ST60, ST76).</w:t>
      </w:r>
      <w:r>
        <w:rPr>
          <w:rFonts w:ascii="Times New Roman" w:hAnsi="Times New Roman"/>
          <w:i w:val="0"/>
          <w:sz w:val="24"/>
        </w:rPr>
        <w:t xml:space="preserve"> SNP heritabilities were well estimated for all eight traits; frailty showed strong positive genetic correlations with all three outcomes (rg = 0.458, 0.353 and 0.250; all q &lt; 1e-13), whereas clock-outcome correlations were predominantly null, corroborating the MR adjudication with an instrument-independent method; cross-trait intercepts were approximately 0 (no sample overlap). The analysis set is MHC-free by construction (0 of 2,823 frailty HLA-window SNPs present; ST77), and the in-house implementation was validated by simulation calibration on the real LD-score scaffold (bias |0.005| or less, jackknife-SE/empirical-SD ratio 0.94-1.05, 95% coverage 0.93-0.96, type-I error 0.06-0.07 at the null; ST79); the official Python-2-era ldsc initially could not be executed on this platform; it has since been run under Python 3 with mechanical interpreter-compatibility patches only (no algorithmic change; Supplementary Note 10(viii); ST137-ST138). An external benchmark against published official-LDSR estimates (ST103; Supplementary Note 7) found near-exact agreement on identical input GWAS (frailty h2 0.111 vs 0.11 (SE 0.005), Atkins et al.; IEAA h2 0.164 vs 0.17 (SE 0.02), rg(GrimAge, PhenoAge) 0.672 vs 0.66, rg(GrimAge, IEAA) 0.243 vs 0.28, McCartney et al.) and directional/ordering concordance with UK Biobank allergic-disease rg estimates.</w:t>
      </w:r>
    </w:p>
    <w:p>
      <w:pPr>
        <w:spacing w:after="120" w:line="480" w:lineRule="auto"/>
      </w:pPr>
      <w:r>
        <w:rPr>
          <w:rFonts w:ascii="Times New Roman" w:hAnsi="Times New Roman"/>
          <w:b/>
          <w:i w:val="0"/>
          <w:sz w:val="24"/>
        </w:rPr>
        <w:t>(iii) Multivariable MR and instrument sensitivity (ST61-ST65).</w:t>
      </w:r>
      <w:r>
        <w:rPr>
          <w:rFonts w:ascii="Times New Roman" w:hAnsi="Times New Roman"/>
          <w:i w:val="0"/>
          <w:sz w:val="24"/>
        </w:rPr>
        <w:t xml:space="preserve"> The frailty effect survived adjustment for BMI, smoking initiation and education (asthma OR 2.68, P = 1.9e-9; atopic dermatitis OR 1.79, P = 8.9e-8; rhinitis borderline under the LD-GLS estimator, P = 0.060) and exclusion of all canonical allergy/immune loci (86/99 SNPs removed; asthma OR essentially unchanged at 3.43; formal full-versus-excluded consistency z-test P = 0.99 for asthma, 0.48 for atopic dermatitis and 0.013 for rhinitis with the excluded estimate larger; ST78); joint multivariable modelling showed mutually independent conditional effects of frailty and the composite index on all three outcomes.</w:t>
      </w:r>
    </w:p>
    <w:p>
      <w:pPr>
        <w:spacing w:after="120" w:line="480" w:lineRule="auto"/>
      </w:pPr>
      <w:r>
        <w:rPr>
          <w:rFonts w:ascii="Times New Roman" w:hAnsi="Times New Roman"/>
          <w:b/>
          <w:i w:val="0"/>
          <w:sz w:val="24"/>
        </w:rPr>
        <w:t>(iv) 5q31 multi-signal colocalization and SMR/HEIDI (ST66-ST69).</w:t>
      </w:r>
      <w:r>
        <w:rPr>
          <w:rFonts w:ascii="Times New Roman" w:hAnsi="Times New Roman"/>
          <w:i w:val="0"/>
          <w:sz w:val="24"/>
        </w:rPr>
        <w:t xml:space="preserve"> Stepwise conditional signal resolution with shadow masking refined the Treg-IL4 claim: the protective colocalization localizes to the rs6879672 LD block and survives for atopic dermatitis (matched-pair PP.H4 = 0.921, approximate and upward-biased by significance-only eQTL statistics) and suggestively for asthma (0.865, GWAS-subthreshold), while the rhinitis colocalization is single-SNP-driven (rs187681) and is reported as suggestive; the whole-blood IL4 null was strengthened (all 70 per-signal tests PP.H3-dominant); SMR was uniformly protective in direction but HEIDI failed in 5 of 6 tests, expected under the demonstrated multi-signal architecture, so adjudication rests on per-signal colocalization. A prior-sensitivity recomputation (ST102; see Supplementary Note 7) showed the atopic-dermatitis PP.H4 survives conventional priors (&gt;= 0.8 for p12 &gt;= 5e-6; range 0.85-0.99 across p12 = 5e-6 to 1e-4 and outcome prior variances 0.15^2-0.2^2) but attenuates to 0.54 at the strictest p12 = 1e-6, while the asthma signal (0.795 at baseline) falls below 0.8 at p12 &lt;= 1e-5, confirming its suggestive status.</w:t>
      </w:r>
    </w:p>
    <w:p>
      <w:pPr>
        <w:spacing w:after="120" w:line="480" w:lineRule="auto"/>
      </w:pPr>
      <w:r>
        <w:rPr>
          <w:rFonts w:ascii="Times New Roman" w:hAnsi="Times New Roman"/>
          <w:b/>
          <w:i w:val="0"/>
          <w:sz w:val="24"/>
        </w:rPr>
        <w:t>(v) NHANES index validity (ST70-ST73).</w:t>
      </w:r>
      <w:r>
        <w:rPr>
          <w:rFonts w:ascii="Times New Roman" w:hAnsi="Times New Roman"/>
          <w:i w:val="0"/>
          <w:sz w:val="24"/>
        </w:rPr>
        <w:t xml:space="preserve"> The index rises with chronological age (cycle-specific weighted r = 0.20 and 0.24; pooled r = 0.22, P = 6.2e-83; monotone across age decades), tracks log-CRP beyond its mechanical CRP component, and carries incremental predictive value over age for allergic outcomes (Wald P down to 1.2e-11; delta-AIC &gt; 60 for the composite in both cycles), supporting the "ageing" label while the age-invariant effect (no age-by-index interaction) refines the set-point interpretation.</w:t>
      </w:r>
    </w:p>
    <w:p>
      <w:pPr>
        <w:spacing w:after="120" w:line="480" w:lineRule="auto"/>
      </w:pPr>
      <w:r>
        <w:rPr>
          <w:rFonts w:ascii="Times New Roman" w:hAnsi="Times New Roman"/>
          <w:b/>
          <w:i w:val="0"/>
          <w:sz w:val="24"/>
        </w:rPr>
        <w:t>(vi) Targeted on-target safety MR scan (ST74-ST75).</w:t>
      </w:r>
      <w:r>
        <w:rPr>
          <w:rFonts w:ascii="Times New Roman" w:hAnsi="Times New Roman"/>
          <w:i w:val="0"/>
          <w:sz w:val="24"/>
        </w:rPr>
        <w:t xml:space="preserve"> Scanning the IL18 and TNFSF14 cis-pQTL instruments across ten non-allergic FinnGen R12 endpoints in five safety categories found IL18's off-target-endpoint associations directionally concordant with its atopic-dermatitis risk effect (higher IL18: psoriasis OR 1.24, q = 2.1e-4; femur fracture OR 1.19, q = 0.006, predicting no adverse signal from IL18 blockade at these endpoints), while higher TNFSF14 associated with psoriasis (OR 1.11, q = 0.034) but lower septicaemia (OR 0.92) and femur-fracture (OR 0.90) risk, flagging infection and bone health for surveillance of TNFSF14-directed suppression. These are lifelong genetic proxies that bound, not equate to, pharmacological on-target risk.</w:t>
      </w:r>
    </w:p>
    <w:p>
      <w:pPr>
        <w:spacing w:after="120" w:line="480" w:lineRule="auto"/>
      </w:pPr>
      <w:r>
        <w:rPr>
          <w:rFonts w:ascii="Times New Roman" w:hAnsi="Times New Roman"/>
          <w:b/>
          <w:i w:val="0"/>
          <w:sz w:val="24"/>
        </w:rPr>
        <w:t>Documented deviations from the R6 plan:</w:t>
      </w:r>
      <w:r>
        <w:rPr>
          <w:rFonts w:ascii="Times New Roman" w:hAnsi="Times New Roman"/>
          <w:i w:val="0"/>
          <w:sz w:val="24"/>
        </w:rPr>
        <w:t xml:space="preserve"> the Budu-Aggrey atopic-dermatitis source was omitted at the first R6-01 download pass owing to local disk constraints and was restored on 2026-09-12 for the editorial M1 revision, after which the atopic-dermatitis adjudication was updated (from downgraded to retained); the LDSC pipeline reports all 28 pairwise rg (the pre-specified 15-pair FDR family is additionally reported and no conclusion differs); the Neale 6152_9 endpoint combines hayfever/allergic rhinitis with eczema; and NHANES likelihood-based comparisons used weights normalized to mean 1 (cluster-robust Wald inference is scale-invariant).</w:t>
      </w:r>
    </w:p>
    <w:p>
      <w:pPr>
        <w:pStyle w:val="Heading1"/>
      </w:pPr>
      <w:r>
        <w:rPr>
          <w:rFonts w:ascii="Times New Roman" w:hAnsi="Times New Roman"/>
          <w:color w:val="000000"/>
        </w:rPr>
        <w:t>Supplementary Note 5. R7 evidence-elevation analyses</w:t>
      </w:r>
    </w:p>
    <w:p>
      <w:pPr>
        <w:spacing w:after="120" w:line="480" w:lineRule="auto"/>
      </w:pPr>
      <w:r>
        <w:rPr>
          <w:rFonts w:ascii="Times New Roman" w:hAnsi="Times New Roman"/>
          <w:i w:val="0"/>
          <w:sz w:val="24"/>
        </w:rPr>
        <w:t>Seven R7 modules extended the evidence base; completed real-data analyses are reported here, and blocked modules are declared without fabrication. The R7 analyses were undertaken post hoc after the pre-specified plan and the R6 analysis plan, motivated by editorial feedback; they are hypothesis-refining and are reported as such (no R7 module alters the a priori adjudication).</w:t>
      </w:r>
    </w:p>
    <w:p>
      <w:pPr>
        <w:spacing w:after="120" w:line="480" w:lineRule="auto"/>
      </w:pPr>
      <w:r>
        <w:rPr>
          <w:rFonts w:ascii="Times New Roman" w:hAnsi="Times New Roman"/>
          <w:b/>
          <w:i w:val="0"/>
          <w:sz w:val="24"/>
        </w:rPr>
        <w:t>(i) Phenome-wide MR specificity scan (ST80-ST82; Supplementary Fig. 2).</w:t>
      </w:r>
      <w:r>
        <w:rPr>
          <w:rFonts w:ascii="Times New Roman" w:hAnsi="Times New Roman"/>
          <w:i w:val="0"/>
          <w:sz w:val="24"/>
        </w:rPr>
        <w:t xml:space="preserve"> Both ageing exposures were scanned against 17 FinnGen R12 endpoints (34 tests, 20 FDR-significant). The composite haematological type-2 index was specific to allergic endpoints (asthma OR 2.34, q = 7.7e-5; atopic dermatitis OR 1.88, q = 7.0e-7; rhinitis OR 1.63, q = 3.1e-3; asthma-nasal-polyp composite OR 2.00, q = 8.6e-8), with only a modest inverse myocardial-infarction association (OR 0.81, q = 0.024) outside the allergic category. The frailty instrument was broadly pleiotropic and HLA-driven (rheumatoid arthritis OR 477; type 1 diabetes OR 6.6e5; psoriasis OR 3.29; depression OR 1.91; myocardial infarction OR 2.36; femur fracture OR 2.34; pneumonia OR 1.22; ulcerative colitis OR 0.17; chronic nasopharyngeal disease OR 0.27), quantifying its pleiotropy risk and supporting the narrowing of magnitude claims to the index. Outlier-corrected IVW left the index allergy estimates unchanged (asthma 2.34, rhinitis 1.63, atopic dermatitis 1.89), whereas the extreme frailty autoimmune estimates were outlier-sensitive.</w:t>
      </w:r>
    </w:p>
    <w:p>
      <w:pPr>
        <w:spacing w:after="120" w:line="480" w:lineRule="auto"/>
      </w:pPr>
      <w:r>
        <w:rPr>
          <w:rFonts w:ascii="Times New Roman" w:hAnsi="Times New Roman"/>
          <w:b/>
          <w:i w:val="0"/>
          <w:sz w:val="24"/>
        </w:rPr>
        <w:t>(ii) HRS longitudinal validation (ST83-ST86; Supplementary Fig. 7).</w:t>
      </w:r>
      <w:r>
        <w:rPr>
          <w:rFonts w:ascii="Times New Roman" w:hAnsi="Times New Roman"/>
          <w:i w:val="0"/>
          <w:sz w:val="24"/>
        </w:rPr>
        <w:t xml:space="preserve"> In RAND HRS 1992-2022 (45,234 participants, 16 waves, 723,744 person-waves; the mortality analysis set comprised 36,528 participants with 18,276 deaths, ST83), the deficit-accumulation frailty index predicted all-cause mortality (HR 1.61 per SD of 0.131, 1.59-1.63) and incident lung disease (1.77), heart disease (1.59), stroke (1.57), diabetes (1.48) and cancer (1.16); a time-varying Cox specification gave HR 1.85 per SD (1.83-1.87, recomputed from ST84 at SD = 0.131). The mortality effect attenuated mildly with age (stratified HRs 1.72 / 1.55 / 1.43 per SD at 50-65 / 65-80 / &gt; 80 years, recomputed from ST85 at SD = 0.131; FI x age HR 0.991 per SD-year, P = 3e-44). Early-warning-signal analyses found higher within-person FI variance (median 0.0065 vs 0.0025) and lag-1 autocorrelation (0.53 vs 0.38, both P &lt; 1e-116) in participants who later died, a critical-slowing signature (values from the corrected death-flag mapping of the companion re-analysis, superseding the initial 0.0059/0.0026 and 0.55/0.45 estimates in ST86). These estimates survived the pre-specified mean-FI adjustment (variance adjusted P &lt; 10⁻³⁰⁰; autocorrelation adjusted P = 3.1 × 10⁻116; ST105), and component-exclusion refits shifted incident-disease HRs by at most 4% (ST104), excluding mechanical self-prediction and mean-variance-coupling explanations (Supplementary Note 7). Hard limitation: RAND HRS contains no allergy outcomes, blood-cell traits, CRP or genotypes (0 hits across 19,880 variable labels), so incident-allergy and haematological-index analyses cannot be built from these files; a synthetic-validated generic pipeline awaits UK Biobank / All of Us extracts.</w:t>
      </w:r>
    </w:p>
    <w:p>
      <w:pPr>
        <w:spacing w:after="120" w:line="480" w:lineRule="auto"/>
      </w:pPr>
      <w:r>
        <w:rPr>
          <w:rFonts w:ascii="Times New Roman" w:hAnsi="Times New Roman"/>
          <w:b/>
          <w:i w:val="0"/>
          <w:sz w:val="24"/>
        </w:rPr>
        <w:t>(iii) OneK1K remediation and independent cell-type MR (ST87-ST88; Supplementary Fig. 8).</w:t>
      </w:r>
      <w:r>
        <w:rPr>
          <w:rFonts w:ascii="Times New Roman" w:hAnsi="Times New Roman"/>
          <w:i w:val="0"/>
          <w:sz w:val="24"/>
        </w:rPr>
        <w:t xml:space="preserve"> Streaming the six full OneK1K cis-eQTL tables showed the previously unresolved discrepancy is a coverage/power property, not a fixable harmonization bug: cis-eQTL records exist for GATA3 (5,514), IL1R1 (4,157), TSLP (3,415), IL4 (3,354) and STAT6 (2,244), but not for IL13, IL5 or COL1A1; the exact DICE lead SNP is present in only 7 of 33 significant pairs, with gene-level direction concordant in 3 of 7 (chance). An independent-instrument design (each gene's own OneK1K cis lead eSNP per cell type; 39 instruments, per-instrument first-stage F = 5.1-23.2 from rho at n = 982 donors; 111 Wald-ratio tests, 11 genes) yielded 14 FDR-significant associations independent of DICE: NK GATA3 protective for atopic dermatitis (OR 0.60, P = 1.2e-11) and asthma (OR 0.67); monocyte TNF risk-increasing for asthma (OR 1.69, P = 5.1e-10); B-cell IL6 risk-increasing for asthma (OR 1.50, P = 1.4e-5) and atopic dermatitis (OR 1.30); CD4-naive RORC protective. FDR-significant genes: TNF (6 tests), IL6 (4), GATA3 (2), RORC (2). The 14 FDR-significant tests span single-instrument F = 9.5-23.2; two sit marginally below the conventional F &gt; 10 threshold (TNF rs2229094 in CD8 T cells, F = 9.5; IL6 rs61480128 in CD8 T cells, F = 10.0) and are flagged per-test in ST88. Single-lead Wald ratios are pleiotropy-sensitive; moreover, the FDR-significant OneK1K signals involve a different gene set (TNF, IL6, GATA3, RORC) than the DICE headline pairs (IL4, TSLP, IL5), so they are reported as independent instruments pointing to an adjacent but partly distinct cell-gene architecture, not as corroboration of the DICE IL4-axis findings.</w:t>
      </w:r>
    </w:p>
    <w:p>
      <w:pPr>
        <w:spacing w:after="120" w:line="480" w:lineRule="auto"/>
      </w:pPr>
      <w:r>
        <w:rPr>
          <w:rFonts w:ascii="Times New Roman" w:hAnsi="Times New Roman"/>
          <w:b/>
          <w:i w:val="0"/>
          <w:sz w:val="24"/>
        </w:rPr>
        <w:t>(iv) Blood-cell-trait decomposition MR (ST89; Supplementary Fig. 5).</w:t>
      </w:r>
      <w:r>
        <w:rPr>
          <w:rFonts w:ascii="Times New Roman" w:hAnsi="Times New Roman"/>
          <w:i w:val="0"/>
          <w:sz w:val="24"/>
        </w:rPr>
        <w:t xml:space="preserve"> Eosinophil-count instruments (167 SNPs, F = 85.5) drive the allergic signal (asthma OR 1.61, P = 5.4e-65; rhinitis OR 1.30, P = 6.5e-25; atopic dermatitis OR 1.27, P = 4.3e-37); total white-cell instruments (175 SNPs, F = 67.4) are weak for asthma (OR 1.10, P = 0.002) and null for rhinitis and atopic dermatitis. This is a component-attribution (falsification) analysis: because eosinophilia is itself a type-2 disease correlate, it rules out a nonspecific-leukocytosis explanation of the index but is not independent mechanistic evidence; reverse MR (allergy -&gt; blood traits) bounds feedback at &gt;= 8.9-fold below forward effects. Pan-UKBB chr:pos-keyed traits (CRP, lymphocyte percentage) could not be rsID-matched and were not analysed.</w:t>
      </w:r>
    </w:p>
    <w:p>
      <w:pPr>
        <w:spacing w:after="120" w:line="480" w:lineRule="auto"/>
      </w:pPr>
      <w:r>
        <w:rPr>
          <w:rFonts w:ascii="Times New Roman" w:hAnsi="Times New Roman"/>
          <w:b/>
          <w:i w:val="0"/>
          <w:sz w:val="24"/>
        </w:rPr>
        <w:t>(v) Single-cell ageing atlas (ST90-ST92; Supplementary Fig. 10).</w:t>
      </w:r>
      <w:r>
        <w:rPr>
          <w:rFonts w:ascii="Times New Roman" w:hAnsi="Times New Roman"/>
          <w:i w:val="0"/>
          <w:sz w:val="24"/>
        </w:rPr>
        <w:t xml:space="preserve"> Tabula Sapiens 2.0 blood/lung/large-intestine/small-intestine datasets (CZ CELLxGENE, streamed from CSR matrices, &lt;= 40,000 cells per tissue, 43 signature genes) with donor-clustered robust inference gave 168 of 463 cell-type x module and 158 of 428 cell-type x gene age slopes at FDR &lt; 0.05 (e.g., senescence-associated secretory phenotype module rising in plasma cells at 0.0042/year; alarmin module in CD8 T cells; IL18 in B cells and monocytes). Critical caveat: donor coverage is thin and age ranges narrow (blood 9 donors aged 33-69; intestine 5 donors aged 37-61; lung 4 donors aged 59-61 with essentially no age gradient), so results are descriptive/hypothesis-generating, not a validated ageing clock; erythrocyte signals likely reflect ambient-RNA contamination. Donor-level proportion anchoring of the haematological type-2 index was null and underpowered (all P &gt; 0.37, n = 9 donors) and no anchoring claim is made.</w:t>
      </w:r>
    </w:p>
    <w:p>
      <w:pPr>
        <w:spacing w:after="120" w:line="480" w:lineRule="auto"/>
      </w:pPr>
      <w:r>
        <w:rPr>
          <w:rFonts w:ascii="Times New Roman" w:hAnsi="Times New Roman"/>
          <w:b/>
          <w:i w:val="0"/>
          <w:sz w:val="24"/>
        </w:rPr>
        <w:t>(vi) IL18/TNFSF14 cell-of-origin localization (ST93; Supplementary Fig. 13).</w:t>
      </w:r>
      <w:r>
        <w:rPr>
          <w:rFonts w:ascii="Times New Roman" w:hAnsi="Times New Roman"/>
          <w:i w:val="0"/>
          <w:sz w:val="24"/>
        </w:rPr>
        <w:t xml:space="preserve"> IL18 detection concentrated in myeloid compartments (lung macrophage 75%, colon macrophage 75%, alveolar type-1 cells 72%, blood intermediate monocytes 63%), consistent with an inflammageing origin; TNFSF14 concentrated in lymphoid/innate compartments (small-intestinal gamma-delta T cells 29%, natural killer cells 19%, blood neutrophils 17%), supporting the drug-target narrative with a cell-of-origin statement.</w:t>
      </w:r>
    </w:p>
    <w:p>
      <w:pPr>
        <w:spacing w:after="120" w:line="480" w:lineRule="auto"/>
      </w:pPr>
      <w:r>
        <w:rPr>
          <w:rFonts w:ascii="Times New Roman" w:hAnsi="Times New Roman"/>
          <w:b/>
          <w:i w:val="0"/>
          <w:sz w:val="24"/>
        </w:rPr>
        <w:t>(vii) Disease signature transfer (descriptive only; Supplementary Fig. 9).</w:t>
      </w:r>
      <w:r>
        <w:rPr>
          <w:rFonts w:ascii="Times New Roman" w:hAnsi="Times New Roman"/>
          <w:i w:val="0"/>
          <w:sz w:val="24"/>
        </w:rPr>
        <w:t xml:space="preserve"> In allergen-challenge airway single-cell data (GSE193816; Alladina et al., Sci. Immunol. 2023; 52,152 cells; all 43 signature genes present), cell-level ageing-module scores correlated with Th2 scores (r = 0.178) but not with alarmin scores (r = 0.007). Group labels (allergic asthma AA vs allergic control AC) and condition labels (baseline Bln, diluent Dil, allergen Ag) were confirmed against the publication's conventions on 2026-09-17; cluster-level group tests nonetheless treat cells as independent (pseudoreplication), so this module remains descriptive and no inferential claim is made. Cell-level outputs are retained in the code repository.</w:t>
      </w:r>
    </w:p>
    <w:p>
      <w:pPr>
        <w:spacing w:after="120" w:line="480" w:lineRule="auto"/>
      </w:pPr>
      <w:r>
        <w:rPr>
          <w:rFonts w:ascii="Times New Roman" w:hAnsi="Times New Roman"/>
          <w:b/>
          <w:i w:val="0"/>
          <w:sz w:val="24"/>
        </w:rPr>
        <w:t>Blocked modules (declared, not run):</w:t>
      </w:r>
      <w:r>
        <w:rPr>
          <w:rFonts w:ascii="Times New Roman" w:hAnsi="Times New Roman"/>
          <w:i w:val="0"/>
          <w:sz w:val="24"/>
        </w:rPr>
        <w:t xml:space="preserve"> the ageing-tool library upgrade required external summary statistics (DunedinPACE, healthspan, parental longevity, telomere) that are not locally present (0 of 4 files), so no new MR was run; longevity-instrument MR was blocked by a genome-build mismatch (chr:pos versus rsID) requiring liftover.</w:t>
      </w:r>
    </w:p>
    <w:p>
      <w:pPr>
        <w:pStyle w:val="Heading1"/>
      </w:pPr>
      <w:r>
        <w:rPr>
          <w:rFonts w:ascii="Times New Roman" w:hAnsi="Times New Roman"/>
          <w:color w:val="000000"/>
        </w:rPr>
        <w:t>Supplementary Note 6. R8 in silico substitution analyses</w:t>
      </w:r>
    </w:p>
    <w:p>
      <w:pPr>
        <w:spacing w:after="120" w:line="480" w:lineRule="auto"/>
      </w:pPr>
      <w:r>
        <w:rPr>
          <w:rFonts w:ascii="Times New Roman" w:hAnsi="Times New Roman"/>
          <w:i w:val="0"/>
          <w:sz w:val="24"/>
        </w:rPr>
        <w:t>Four R8 modules substituted population-scale genetic evidence for the two blocked resources (UKB/All of Us incident cohorts; wet-lab experiments), each declared post hoc and hypothesis-refining.</w:t>
      </w:r>
    </w:p>
    <w:p>
      <w:pPr>
        <w:spacing w:after="120" w:line="480" w:lineRule="auto"/>
      </w:pPr>
      <w:r>
        <w:rPr>
          <w:rFonts w:ascii="Times New Roman" w:hAnsi="Times New Roman"/>
          <w:b/>
          <w:i w:val="0"/>
          <w:sz w:val="24"/>
        </w:rPr>
        <w:t>(i) Onset-stratified asthma MR and LDSC (ST94-ST98; Supplementary Fig. 3).</w:t>
      </w:r>
      <w:r>
        <w:rPr>
          <w:rFonts w:ascii="Times New Roman" w:hAnsi="Times New Roman"/>
          <w:i w:val="0"/>
          <w:sz w:val="24"/>
        </w:rPr>
        <w:t xml:space="preserve"> Ferreira 2019 onset-stratified asthma GWAS (adult-onset 26,582 cases; childhood-onset 13,962; 300,671 shared controls) were tested with the frailty instrument and the composite index: both exposures were directionally positive in both strata (frailty adult-onset OR 9.99, P = 1.3e-95; childhood-onset OR 24.6, P = 2.5e-63; index adult 2.23, childhood 4.38). Raw per-SD effects were larger for childhood-onset (contrast P = 4.3e-5 and 0.0059), mirroring its approximately threefold higher SNP heritability (observed-scale h2: adult 0.039, childhood 0.067); on the scale-free rg scale the frailty dimension shared more than twice the architecture with adult-onset disease (rg 0.487 vs 0.209; conservative contrast z = 5.83, P = 5.7e-9; clocks null/weak for both strata). Caveats: the strata share controls (contrast tests are conservative under independence), and the rg contrast treats the two correlations as independent (conservative because they share the frailty trait).</w:t>
      </w:r>
    </w:p>
    <w:p>
      <w:pPr>
        <w:spacing w:after="120" w:line="480" w:lineRule="auto"/>
      </w:pPr>
      <w:r>
        <w:rPr>
          <w:rFonts w:ascii="Times New Roman" w:hAnsi="Times New Roman"/>
          <w:b/>
          <w:i w:val="0"/>
          <w:sz w:val="24"/>
        </w:rPr>
        <w:t>(ii) Molecular mediation MR (ST99; Supplementary Fig. 15).</w:t>
      </w:r>
      <w:r>
        <w:rPr>
          <w:rFonts w:ascii="Times New Roman" w:hAnsi="Times New Roman"/>
          <w:i w:val="0"/>
          <w:sz w:val="24"/>
        </w:rPr>
        <w:t xml:space="preserve"> The IL18 and TNFSF14 cis-pQTL instruments were tested against 44 other inflammatory plasma proteins from the same Olink meta-analysis (Zhao et al. 2023) (90 tests): none passed FDR &lt; 0.05 (the nominal IL18-to-IL33 trend, P = 0.017, did not). Interpretation: no detectable systemic circulating cascade downstream of the two targets, consistent with tissue-local action of myeloid IL18 and with the circulating-compartment limitation; this bounds rather than excludes tissue-level cascades.</w:t>
      </w:r>
    </w:p>
    <w:p>
      <w:pPr>
        <w:spacing w:after="120" w:line="480" w:lineRule="auto"/>
      </w:pPr>
      <w:r>
        <w:rPr>
          <w:rFonts w:ascii="Times New Roman" w:hAnsi="Times New Roman"/>
          <w:b/>
          <w:i w:val="0"/>
          <w:sz w:val="24"/>
        </w:rPr>
        <w:t>(iii) Tissue-context eQTL analysis (ST100; Supplementary Fig. 16).</w:t>
      </w:r>
      <w:r>
        <w:rPr>
          <w:rFonts w:ascii="Times New Roman" w:hAnsi="Times New Roman"/>
          <w:i w:val="0"/>
          <w:sz w:val="24"/>
        </w:rPr>
        <w:t xml:space="preserve"> In GTEx v8 EUR, none of IL4, IL13, IL5, TSLP or IL33 had a significant whole-blood cis-eQTL pair, whereas barrier/immune tissues showed strong regulation (IL4: 71 pairs in lung; TSLP: 385 esophagus, 350 skin, 182 spleen; IL33: 370 skin, 256 cultured fibroblasts; IL18: 229 skin-sun-exposed, 134 lung). This tissue-context pattern reinforces that whole-blood readouts of type-2 genes mis-specify the disease-relevant context (the IL4 paradox resolution); GTEx whole blood is far smaller than eQTLGen, so absence partly reflects power.</w:t>
      </w:r>
    </w:p>
    <w:p>
      <w:pPr>
        <w:spacing w:after="120" w:line="480" w:lineRule="auto"/>
      </w:pPr>
      <w:r>
        <w:rPr>
          <w:rFonts w:ascii="Times New Roman" w:hAnsi="Times New Roman"/>
          <w:b/>
          <w:i w:val="0"/>
          <w:sz w:val="24"/>
        </w:rPr>
        <w:t>(iv) Human gene-burden lookup (ST101).</w:t>
      </w:r>
      <w:r>
        <w:rPr>
          <w:rFonts w:ascii="Times New Roman" w:hAnsi="Times New Roman"/>
          <w:i w:val="0"/>
          <w:sz w:val="24"/>
        </w:rPr>
        <w:t xml:space="preserve"> Open Targets gene_burden evidence (UK Biobank exomes) contained no qualifying burden association for IL18, TNFSF14, IL4, IL13, IL5 or TSLP against the three allergic diseases (a power-bounded null for rare LoF), while the positive-control alarmin IL33 showed consistently protective pLoF/PTV burden (asthma OR 0.54-0.74 across masks, P down to 1.5e-15; rhinitis OR 0.75-0.80; atopic dermatitis OR 0.78, P = 1.6e-10), validating the human-knockout readout's ability to track anti-alarmin pharmacology.</w:t>
      </w:r>
    </w:p>
    <w:p>
      <w:pPr>
        <w:pStyle w:val="Heading1"/>
      </w:pPr>
      <w:r>
        <w:rPr>
          <w:rFonts w:ascii="Times New Roman" w:hAnsi="Times New Roman"/>
          <w:color w:val="000000"/>
        </w:rPr>
        <w:t>Supplementary Note 7. R9 editorial-revision robustness analyses</w:t>
      </w:r>
    </w:p>
    <w:p>
      <w:pPr>
        <w:spacing w:after="120" w:line="480" w:lineRule="auto"/>
      </w:pPr>
      <w:r>
        <w:rPr>
          <w:rFonts w:ascii="Times New Roman" w:hAnsi="Times New Roman"/>
          <w:i w:val="0"/>
          <w:sz w:val="24"/>
        </w:rPr>
        <w:t>Three R9 analyses addressed the editorial robustness requests; all are post hoc sensitivity/benchmark analyses that alter no a priori adjudication.</w:t>
      </w:r>
    </w:p>
    <w:p>
      <w:pPr>
        <w:spacing w:after="120" w:line="480" w:lineRule="auto"/>
      </w:pPr>
      <w:r>
        <w:rPr>
          <w:rFonts w:ascii="Times New Roman" w:hAnsi="Times New Roman"/>
          <w:b/>
          <w:i w:val="0"/>
          <w:sz w:val="24"/>
        </w:rPr>
        <w:t>(i) Coloc prior sensitivity (ST102).</w:t>
      </w:r>
      <w:r>
        <w:rPr>
          <w:rFonts w:ascii="Times New Roman" w:hAnsi="Times New Roman"/>
          <w:i w:val="0"/>
          <w:sz w:val="24"/>
        </w:rPr>
        <w:t xml:space="preserve"> All IL4-locus (ST23-ST28) and proteome (ST46-ST49) colocalizations were recomputed from the frozen per-SNP harmonized tables across p12 in {1e-6, 5e-6, 1e-5, 5e-5, 1e-4} and outcome-side prior variances 0.15^2 and 0.2^2, using the same Wakefield-ABF machinery as the original analysis (baseline p1 = p2 = 1e-4, p12 = 1e-5, w = 0.15^2 reproduced exactly). Findings: the Treg-IL4 vs atopic-dermatitis PP.H4 (baseline 0.921) stays above 0.8 for all p12 &gt;= 5e-6 (0.854 at 5e-6; 0.983 at 5e-5; 0.992 at 1e-4) and attenuates to 0.539 only at p12 = 1e-6; the asthma signal (baseline 0.795) falls below 0.8 at p12 &lt;= 1e-5, confirming its suggestive grading; the IL18 (0.968) and TNFSF14 (0.976) proteome colocalizations stay at or above 0.80 for all p12 &gt;= 5e-6; whole-blood IL4 pairs remain PP.H3-dominant across the grid. Outcome-side prior variance (0.15^2 vs 0.2^2) had negligible impact (&lt; 0.001 on PP.H4).</w:t>
      </w:r>
    </w:p>
    <w:p>
      <w:pPr>
        <w:spacing w:after="120" w:line="480" w:lineRule="auto"/>
      </w:pPr>
      <w:r>
        <w:rPr>
          <w:rFonts w:ascii="Times New Roman" w:hAnsi="Times New Roman"/>
          <w:b/>
          <w:i w:val="0"/>
          <w:sz w:val="24"/>
        </w:rPr>
        <w:t>(ii) LDSC external benchmark (ST103).</w:t>
      </w:r>
      <w:r>
        <w:rPr>
          <w:rFonts w:ascii="Times New Roman" w:hAnsi="Times New Roman"/>
          <w:i w:val="0"/>
          <w:sz w:val="24"/>
        </w:rPr>
        <w:t xml:space="preserve"> Because the official ldsc remains Python-2-only, the in-house engine was benchmarked against published official-LDSR estimates. On identical input GWAS: frailty h2 0.111 (SE 0.005) vs 0.11 (SE 0.005) (Atkins et al. 2021, ref 32); IEAA h2 0.164 (SE 0.026) vs 0.17 (SE 0.02), rg(GrimAge, PhenoAge) 0.672 (SE 0.099) vs 0.66, and rg(GrimAge, IEAA) 0.243 (SE 0.092) vs 0.28 (McCartney et al. 2021, ref 33); absolute deltas &lt;= 0.037. On independent cohorts (different phenotyping), our FinnGen allergic-disease rg estimates are directionally concordant with, and ordered as in, UK Biobank official-LDSC analyses (Guo et al. 2020: asthma-hay fever 0.665, asthma-eczema 0.452, hay fever-eczema 0.330; Zhu et al. 2018, ref 50: asthma-allergic diseases 0.746), with higher magnitudes consistent with FinnGen's doctor-diagnosed, more homogeneous case definitions. The benchmark nevertheless covers SNP heritability and clock-clock correlations, not the frailty-allergy correlations that carry the dimension contrast; neither the in-house engine nor the third-party Python-3 port is the canonical Bulik-Sullivan implementation, which remains Python-2-only and could not be run, so the headline frailty-allergy genetic correlations await independent canonical re-computation (see also Note 10(viii)).</w:t>
      </w:r>
    </w:p>
    <w:p>
      <w:pPr>
        <w:spacing w:after="120" w:line="480" w:lineRule="auto"/>
      </w:pPr>
      <w:r>
        <w:rPr>
          <w:rFonts w:ascii="Times New Roman" w:hAnsi="Times New Roman"/>
          <w:b/>
          <w:i w:val="0"/>
          <w:sz w:val="24"/>
        </w:rPr>
        <w:t>(iii) HRS companion analyses (EXECUTED, early-warning signals confirmed; ST104-ST105).</w:t>
      </w:r>
      <w:r>
        <w:rPr>
          <w:rFonts w:ascii="Times New Roman" w:hAnsi="Times New Roman"/>
          <w:i w:val="0"/>
          <w:sz w:val="24"/>
        </w:rPr>
        <w:t xml:space="preserve"> The two reviewer-driven companion scripts (03_component_exclusion.py: incident-disease Cox refits with the outcome-defining deficit removed; 04_ews_mean_matched.py: early-warning comparisons matched/adjusted for mean FI) were validated end-to-end on a synthetic RAND-HRS-shaped dataset (3,000 simulated participants, 16 waves; the synthetic data reproduced mean-variance coupling, unmatched variance P ~ 1e-10 vs mean-adjusted P = 0.18, demonstrating why the matched analysis is required) and were then executed by the investigators in their secured environment on the RAND HRS microdata under the HRS AI/LLM use policy (aggregate outputs only). Results (2026-09-17): the early-warning signals SURVIVED mean-FI adjustment: within-person variance remained higher in participants who later died in all ten mean-FI deciles and in the mean-FI-adjusted regression (adjusted P &lt; 1e-300), and lag-1 autocorrelation likewise (all ten deciles; adjusted P = 3.1e-116; ST105), so the critical-slowing interpretation is retained. Component-exclusion refits shifted incident-disease HRs by at most 3.8% (diabetes -2.8%, cancer -1.0%, heart -3.0%, stroke -3.0%, lung -3.8%; ST104), excluding mechanical self-prediction. The corrected death-flag mapping of the companion re-analysis slightly revised the unmatched EWS point values (0.0065/0.0025 variance; 0.53/0.38 autocorrelation), which supersede the initial ST86 estimates (0.0059/0.0026; 0.55/0.45). Sensitivity note on wave-count heterogeneity: the per-participant EWS metrics were computed over &gt;= 4 available FI waves without adjustment for the number of observations; because variance and lag-1 autocorrelation estimates can depend on wave count, the mean-FI-adjusted regression (ST105) is the primary inference, and a wave-count-adjusted refit can be provided on request.</w:t>
      </w:r>
    </w:p>
    <w:p>
      <w:pPr>
        <w:spacing w:after="120" w:line="480" w:lineRule="auto"/>
      </w:pPr>
      <w:r>
        <w:rPr>
          <w:rFonts w:ascii="Times New Roman" w:hAnsi="Times New Roman"/>
          <w:b/>
          <w:i w:val="0"/>
          <w:sz w:val="24"/>
        </w:rPr>
        <w:t>(iv) pQTL cross-cohort/cross-platform replication (ST106).</w:t>
      </w:r>
      <w:r>
        <w:rPr>
          <w:rFonts w:ascii="Times New Roman" w:hAnsi="Times New Roman"/>
          <w:i w:val="0"/>
          <w:sz w:val="24"/>
        </w:rPr>
        <w:t xml:space="preserve"> The identical 3-SNP instrument sets from the discovery proteome MR (ST41) were looked up in separate pQTL GWAS and tested against the same FinnGen atopic-dermatitis betas. IL18 replicated in the SCALLOP Olink cohorts (Folkersen et al. 2020; n = 21,758; GCST90012024): per-SNP F = 172-331, all direction-concordant, IVW OR 1.19 (95% CI 1.13-1.26, P = 7.0e-9). TNFSF14 replicated cross-platform in AGES-Reykjavik SomaScan (Gudjonsson et al. 2022; n = 5,368; GCST90089017): IVW OR 1.20 (1.09-1.32, P = 2.3e-4). INTERVAL SomaScan (Sun et al. 2018; n = 3,301; GCST90243143) was null (IVW OR 1.05, P = 0.42) but power-bounded (per-SNP F = 0.2, 18.9 and 4.8) and is not independent of the discovery meta-analysis (INTERVAL is a constituent cohort); it is reported as uninformative. Sample-provenance audit (verified against the discovery publication, Zhao et al. 2023): the discovery meta-analysis is the SCALLOP Consortium Olink study (11 cohorts; 14,824 participants), so (i) INTERVAL is an explicit constituent cohort of the discovery (used there for lower-limit-of-detection calibration, n = 4,896) and is non-independent, and (ii) SCALLOP/Folkersen et al. 2020 is drawn from the same consortium and cannot be treated as independent; conversely (iii) HELIC (Gilly et al. 2020) and AGES-Reykjavik (Gudjonsson et al. 2022) are not among the discovery's constituent cohorts, and the Ahola-Olli Luminex assay is a separate, non-Olink resource, so these are the genuinely independent layers. The IL18 three-platform pooled estimate (ST128) therefore combines one non-independent Olink layer (SCALLOP) with two independent layers (HELIC Olink; Ahola-Olli Luminex) and is reported as cross-assay consistency, not fully independent replication; for TNFSF14 the only independent layer is AGES (INTERVAL is non-independent), further reinforcing its downgrade. HELIC (Gilly et al. 2020; n = 1,301) was not estimable: the deposited file carries no rsID mapping and nearest-position allele-matched candidates were ambiguous. IL18 additionally replicated cross-platform in the Ahola-Olli Luminex IL-18 GWAS (GCST004441; n = 3,636 Finnish; Bio-Plex bead immunoassay): per-SNP F = 27-93, all direction-concordant, IVW OR 1.16 (1.11-1.23, P = 7.8e-9); the exposure cohorts (Young Finns, FINRISK) are also FinnGen R12 constituents, giving at most ~0.7% exposure-outcome participant overlap (declared; negligible bias). A deCODE SomaScan replication of IL18 remains an optional additional layer (manual access form), as cross-platform replication is already achieved by the Luminex assay.</w:t>
      </w:r>
    </w:p>
    <w:p>
      <w:pPr>
        <w:pStyle w:val="Heading1"/>
      </w:pPr>
      <w:r>
        <w:rPr>
          <w:rFonts w:ascii="Times New Roman" w:hAnsi="Times New Roman"/>
          <w:color w:val="000000"/>
        </w:rPr>
        <w:t>Supplementary Note 8. P2 East Asian (Biobank Japan) cross-ancestry replication</w:t>
      </w:r>
    </w:p>
    <w:p>
      <w:pPr>
        <w:spacing w:after="120" w:line="480" w:lineRule="auto"/>
      </w:pPr>
      <w:r>
        <w:rPr>
          <w:rFonts w:ascii="Times New Roman" w:hAnsi="Times New Roman"/>
          <w:i w:val="0"/>
          <w:sz w:val="24"/>
        </w:rPr>
        <w:t>The P2 analysis was pre-registered in the impact-package runbook (docs: P2 runbook, including the interpretation rule "direction-concordant + FDR &lt; 0.05 =&gt; cross-ancestry replication; null =&gt; reported honestly as ancestry-specific") and executed 2026-09-19 on Biobank Japan hum0197.v3 (Sakaue &amp; Kanai 2021, ref 44).</w:t>
      </w:r>
    </w:p>
    <w:p>
      <w:pPr>
        <w:spacing w:after="120" w:line="480" w:lineRule="auto"/>
      </w:pPr>
      <w:r>
        <w:rPr>
          <w:rFonts w:ascii="Times New Roman" w:hAnsi="Times New Roman"/>
          <w:b/>
          <w:i w:val="0"/>
          <w:sz w:val="24"/>
        </w:rPr>
        <w:t>(i) Design and allele-orientation verification.</w:t>
      </w:r>
      <w:r>
        <w:rPr>
          <w:rFonts w:ascii="Times New Roman" w:hAnsi="Times New Roman"/>
          <w:i w:val="0"/>
          <w:sz w:val="24"/>
        </w:rPr>
        <w:t xml:space="preserve"> The 101 candidate index SNPs (the 93-SNP European instrument plus outcome-side filter casualties, treated as an extraction superset; the "93" and "101" counts elsewhere in this supplement refer to the post-harmonization European analysis set and the extraction superset respectively) were looked up by rsID in the nine BBJ files. Effect-allele conventions were taken from the official hum0197 dictionary file (Dictfile_BBJ.html): BOLT-LMM quantitative biomarker files use ALLELE1 = effect allele with A1FREQ; SAIGE binary endpoint files use Allele2 (ALT) = effect allele with AF_Allele2. An earlier pipeline pass that applied the quantitative convention to the SAIGE files produced artefactual sign discordance for asthma/rhinitis; this was caught by the per-SNP concordance diagnostic, corrected, and re-verified: with the dictionary-correct orientations, allergic rhinitis shows 80% per-SNP sign concordance with FinnGen (binomial P = 1e-4), which is implausible under a residual orientation error.</w:t>
      </w:r>
    </w:p>
    <w:p>
      <w:pPr>
        <w:spacing w:after="120" w:line="480" w:lineRule="auto"/>
      </w:pPr>
      <w:r>
        <w:rPr>
          <w:rFonts w:ascii="Times New Roman" w:hAnsi="Times New Roman"/>
          <w:b/>
          <w:i w:val="0"/>
          <w:sz w:val="24"/>
        </w:rPr>
        <w:t>(ii) Coverage funnel and component retention (editorial Major 2).</w:t>
      </w:r>
      <w:r>
        <w:rPr>
          <w:rFonts w:ascii="Times New Roman" w:hAnsi="Times New Roman"/>
          <w:i w:val="0"/>
          <w:sz w:val="24"/>
        </w:rPr>
        <w:t xml:space="preserve"> Of 101 candidate SNPs, 50 were retrievable by rsID (the remainder lacked rsIDs in the BBJ autosomal files or sat below the imputation Rsq &gt; 0.7 release threshold) and 47 passed allele/palindromic QC (3 palindromic SNPs excluded on effect-allele-frequency mismatch &gt; 0.15). Component retention: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rFonts w:ascii="Times New Roman" w:hAnsi="Times New Roman"/>
                <w:b/>
                <w:i w:val="0"/>
                <w:sz w:val="20"/>
              </w:rPr>
              <w:t>component</w:t>
            </w:r>
          </w:p>
        </w:tc>
        <w:tc>
          <w:tcPr>
            <w:tcW w:type="dxa" w:w="2160"/>
          </w:tcPr>
          <w:p>
            <w:r>
              <w:rPr>
                <w:b/>
              </w:rPr>
            </w:r>
            <w:r>
              <w:rPr>
                <w:rFonts w:ascii="Times New Roman" w:hAnsi="Times New Roman"/>
                <w:b/>
                <w:i w:val="0"/>
                <w:sz w:val="20"/>
              </w:rPr>
              <w:t>instrument SNPs</w:t>
            </w:r>
          </w:p>
        </w:tc>
        <w:tc>
          <w:tcPr>
            <w:tcW w:type="dxa" w:w="2160"/>
          </w:tcPr>
          <w:p>
            <w:r>
              <w:rPr>
                <w:b/>
              </w:rPr>
            </w:r>
            <w:r>
              <w:rPr>
                <w:rFonts w:ascii="Times New Roman" w:hAnsi="Times New Roman"/>
                <w:b/>
                <w:i w:val="0"/>
                <w:sz w:val="20"/>
              </w:rPr>
              <w:t>BBJ retained</w:t>
            </w:r>
          </w:p>
        </w:tc>
        <w:tc>
          <w:tcPr>
            <w:tcW w:type="dxa" w:w="2160"/>
          </w:tcPr>
          <w:p>
            <w:r>
              <w:rPr>
                <w:b/>
              </w:rPr>
            </w:r>
            <w:r>
              <w:rPr>
                <w:rFonts w:ascii="Times New Roman" w:hAnsi="Times New Roman"/>
                <w:b/>
                <w:i w:val="0"/>
                <w:sz w:val="20"/>
              </w:rPr>
              <w:t>retention</w:t>
            </w:r>
          </w:p>
        </w:tc>
      </w:tr>
      <w:tr>
        <w:tc>
          <w:tcPr>
            <w:tcW w:type="dxa" w:w="2160"/>
          </w:tcPr>
          <w:p>
            <w:r/>
            <w:r>
              <w:rPr>
                <w:rFonts w:ascii="Times New Roman" w:hAnsi="Times New Roman"/>
                <w:i w:val="0"/>
                <w:sz w:val="20"/>
              </w:rPr>
              <w:t>eosinophil_pct (index weight 0.500)</w:t>
            </w:r>
          </w:p>
        </w:tc>
        <w:tc>
          <w:tcPr>
            <w:tcW w:type="dxa" w:w="2160"/>
          </w:tcPr>
          <w:p>
            <w:r/>
            <w:r>
              <w:rPr>
                <w:rFonts w:ascii="Times New Roman" w:hAnsi="Times New Roman"/>
                <w:i w:val="0"/>
                <w:sz w:val="20"/>
              </w:rPr>
              <w:t>17</w:t>
            </w:r>
          </w:p>
        </w:tc>
        <w:tc>
          <w:tcPr>
            <w:tcW w:type="dxa" w:w="2160"/>
          </w:tcPr>
          <w:p>
            <w:r/>
            <w:r>
              <w:rPr>
                <w:rFonts w:ascii="Times New Roman" w:hAnsi="Times New Roman"/>
                <w:i w:val="0"/>
                <w:sz w:val="20"/>
              </w:rPr>
              <w:t>13</w:t>
            </w:r>
          </w:p>
        </w:tc>
        <w:tc>
          <w:tcPr>
            <w:tcW w:type="dxa" w:w="2160"/>
          </w:tcPr>
          <w:p>
            <w:r/>
            <w:r>
              <w:rPr>
                <w:rFonts w:ascii="Times New Roman" w:hAnsi="Times New Roman"/>
                <w:i w:val="0"/>
                <w:sz w:val="20"/>
              </w:rPr>
              <w:t>76%</w:t>
            </w:r>
          </w:p>
        </w:tc>
      </w:tr>
      <w:tr>
        <w:tc>
          <w:tcPr>
            <w:tcW w:type="dxa" w:w="2160"/>
          </w:tcPr>
          <w:p>
            <w:r/>
            <w:r>
              <w:rPr>
                <w:rFonts w:ascii="Times New Roman" w:hAnsi="Times New Roman"/>
                <w:i w:val="0"/>
                <w:sz w:val="20"/>
              </w:rPr>
              <w:t>neutrophil_pct (0.237)</w:t>
            </w:r>
          </w:p>
        </w:tc>
        <w:tc>
          <w:tcPr>
            <w:tcW w:type="dxa" w:w="2160"/>
          </w:tcPr>
          <w:p>
            <w:r/>
            <w:r>
              <w:rPr>
                <w:rFonts w:ascii="Times New Roman" w:hAnsi="Times New Roman"/>
                <w:i w:val="0"/>
                <w:sz w:val="20"/>
              </w:rPr>
              <w:t>7</w:t>
            </w:r>
          </w:p>
        </w:tc>
        <w:tc>
          <w:tcPr>
            <w:tcW w:type="dxa" w:w="2160"/>
          </w:tcPr>
          <w:p>
            <w:r/>
            <w:r>
              <w:rPr>
                <w:rFonts w:ascii="Times New Roman" w:hAnsi="Times New Roman"/>
                <w:i w:val="0"/>
                <w:sz w:val="20"/>
              </w:rPr>
              <w:t>6</w:t>
            </w:r>
          </w:p>
        </w:tc>
        <w:tc>
          <w:tcPr>
            <w:tcW w:type="dxa" w:w="2160"/>
          </w:tcPr>
          <w:p>
            <w:r/>
            <w:r>
              <w:rPr>
                <w:rFonts w:ascii="Times New Roman" w:hAnsi="Times New Roman"/>
                <w:i w:val="0"/>
                <w:sz w:val="20"/>
              </w:rPr>
              <w:t>86%</w:t>
            </w:r>
          </w:p>
        </w:tc>
      </w:tr>
      <w:tr>
        <w:tc>
          <w:tcPr>
            <w:tcW w:type="dxa" w:w="2160"/>
          </w:tcPr>
          <w:p>
            <w:r/>
            <w:r>
              <w:rPr>
                <w:rFonts w:ascii="Times New Roman" w:hAnsi="Times New Roman"/>
                <w:i w:val="0"/>
                <w:sz w:val="20"/>
              </w:rPr>
              <w:t>wbc (0.037)</w:t>
            </w:r>
          </w:p>
        </w:tc>
        <w:tc>
          <w:tcPr>
            <w:tcW w:type="dxa" w:w="2160"/>
          </w:tcPr>
          <w:p>
            <w:r/>
            <w:r>
              <w:rPr>
                <w:rFonts w:ascii="Times New Roman" w:hAnsi="Times New Roman"/>
                <w:i w:val="0"/>
                <w:sz w:val="20"/>
              </w:rPr>
              <w:t>6</w:t>
            </w:r>
          </w:p>
        </w:tc>
        <w:tc>
          <w:tcPr>
            <w:tcW w:type="dxa" w:w="2160"/>
          </w:tcPr>
          <w:p>
            <w:r/>
            <w:r>
              <w:rPr>
                <w:rFonts w:ascii="Times New Roman" w:hAnsi="Times New Roman"/>
                <w:i w:val="0"/>
                <w:sz w:val="20"/>
              </w:rPr>
              <w:t>4</w:t>
            </w:r>
          </w:p>
        </w:tc>
        <w:tc>
          <w:tcPr>
            <w:tcW w:type="dxa" w:w="2160"/>
          </w:tcPr>
          <w:p>
            <w:r/>
            <w:r>
              <w:rPr>
                <w:rFonts w:ascii="Times New Roman" w:hAnsi="Times New Roman"/>
                <w:i w:val="0"/>
                <w:sz w:val="20"/>
              </w:rPr>
              <w:t>67%</w:t>
            </w:r>
          </w:p>
        </w:tc>
      </w:tr>
      <w:tr>
        <w:tc>
          <w:tcPr>
            <w:tcW w:type="dxa" w:w="2160"/>
          </w:tcPr>
          <w:p>
            <w:r/>
            <w:r>
              <w:rPr>
                <w:rFonts w:ascii="Times New Roman" w:hAnsi="Times New Roman"/>
                <w:i w:val="0"/>
                <w:sz w:val="20"/>
              </w:rPr>
              <w:t>monocyte_pct (-0.048)</w:t>
            </w:r>
          </w:p>
        </w:tc>
        <w:tc>
          <w:tcPr>
            <w:tcW w:type="dxa" w:w="2160"/>
          </w:tcPr>
          <w:p>
            <w:r/>
            <w:r>
              <w:rPr>
                <w:rFonts w:ascii="Times New Roman" w:hAnsi="Times New Roman"/>
                <w:i w:val="0"/>
                <w:sz w:val="20"/>
              </w:rPr>
              <w:t>33</w:t>
            </w:r>
          </w:p>
        </w:tc>
        <w:tc>
          <w:tcPr>
            <w:tcW w:type="dxa" w:w="2160"/>
          </w:tcPr>
          <w:p>
            <w:r/>
            <w:r>
              <w:rPr>
                <w:rFonts w:ascii="Times New Roman" w:hAnsi="Times New Roman"/>
                <w:i w:val="0"/>
                <w:sz w:val="20"/>
              </w:rPr>
              <w:t>12</w:t>
            </w:r>
          </w:p>
        </w:tc>
        <w:tc>
          <w:tcPr>
            <w:tcW w:type="dxa" w:w="2160"/>
          </w:tcPr>
          <w:p>
            <w:r/>
            <w:r>
              <w:rPr>
                <w:rFonts w:ascii="Times New Roman" w:hAnsi="Times New Roman"/>
                <w:i w:val="0"/>
                <w:sz w:val="20"/>
              </w:rPr>
              <w:t>36%</w:t>
            </w:r>
          </w:p>
        </w:tc>
      </w:tr>
      <w:tr>
        <w:tc>
          <w:tcPr>
            <w:tcW w:type="dxa" w:w="2160"/>
          </w:tcPr>
          <w:p>
            <w:r/>
            <w:r>
              <w:rPr>
                <w:rFonts w:ascii="Times New Roman" w:hAnsi="Times New Roman"/>
                <w:i w:val="0"/>
                <w:sz w:val="20"/>
              </w:rPr>
              <w:t>crp (0.092)</w:t>
            </w:r>
          </w:p>
        </w:tc>
        <w:tc>
          <w:tcPr>
            <w:tcW w:type="dxa" w:w="2160"/>
          </w:tcPr>
          <w:p>
            <w:r/>
            <w:r>
              <w:rPr>
                <w:rFonts w:ascii="Times New Roman" w:hAnsi="Times New Roman"/>
                <w:i w:val="0"/>
                <w:sz w:val="20"/>
              </w:rPr>
              <w:t>28</w:t>
            </w:r>
          </w:p>
        </w:tc>
        <w:tc>
          <w:tcPr>
            <w:tcW w:type="dxa" w:w="2160"/>
          </w:tcPr>
          <w:p>
            <w:r/>
            <w:r>
              <w:rPr>
                <w:rFonts w:ascii="Times New Roman" w:hAnsi="Times New Roman"/>
                <w:i w:val="0"/>
                <w:sz w:val="20"/>
              </w:rPr>
              <w:t>9</w:t>
            </w:r>
          </w:p>
        </w:tc>
        <w:tc>
          <w:tcPr>
            <w:tcW w:type="dxa" w:w="2160"/>
          </w:tcPr>
          <w:p>
            <w:r/>
            <w:r>
              <w:rPr>
                <w:rFonts w:ascii="Times New Roman" w:hAnsi="Times New Roman"/>
                <w:i w:val="0"/>
                <w:sz w:val="20"/>
              </w:rPr>
              <w:t>32%</w:t>
            </w:r>
          </w:p>
        </w:tc>
      </w:tr>
      <w:tr>
        <w:tc>
          <w:tcPr>
            <w:tcW w:type="dxa" w:w="2160"/>
          </w:tcPr>
          <w:p>
            <w:r/>
            <w:r>
              <w:rPr>
                <w:rFonts w:ascii="Times New Roman" w:hAnsi="Times New Roman"/>
                <w:i w:val="0"/>
                <w:sz w:val="20"/>
              </w:rPr>
              <w:t>lymphocyte_pct (-0.231)</w:t>
            </w:r>
          </w:p>
        </w:tc>
        <w:tc>
          <w:tcPr>
            <w:tcW w:type="dxa" w:w="2160"/>
          </w:tcPr>
          <w:p>
            <w:r/>
            <w:r>
              <w:rPr>
                <w:rFonts w:ascii="Times New Roman" w:hAnsi="Times New Roman"/>
                <w:i w:val="0"/>
                <w:sz w:val="20"/>
              </w:rPr>
              <w:t>10</w:t>
            </w:r>
          </w:p>
        </w:tc>
        <w:tc>
          <w:tcPr>
            <w:tcW w:type="dxa" w:w="2160"/>
          </w:tcPr>
          <w:p>
            <w:r/>
            <w:r>
              <w:rPr>
                <w:rFonts w:ascii="Times New Roman" w:hAnsi="Times New Roman"/>
                <w:i w:val="0"/>
                <w:sz w:val="20"/>
              </w:rPr>
              <w:t>3</w:t>
            </w:r>
          </w:p>
        </w:tc>
        <w:tc>
          <w:tcPr>
            <w:tcW w:type="dxa" w:w="2160"/>
          </w:tcPr>
          <w:p>
            <w:r/>
            <w:r>
              <w:rPr>
                <w:rFonts w:ascii="Times New Roman" w:hAnsi="Times New Roman"/>
                <w:i w:val="0"/>
                <w:sz w:val="20"/>
              </w:rPr>
              <w:t>30%</w:t>
            </w:r>
          </w:p>
        </w:tc>
      </w:tr>
    </w:tbl>
    <w:p/>
    <w:p>
      <w:pPr>
        <w:spacing w:after="120" w:line="480" w:lineRule="auto"/>
      </w:pPr>
      <w:r>
        <w:rPr>
          <w:rFonts w:ascii="Times New Roman" w:hAnsi="Times New Roman"/>
          <w:i w:val="0"/>
          <w:sz w:val="24"/>
        </w:rPr>
        <w:t>The dominantly weighted eosinophil component has the second-highest retention (76%), so the reduced coverage does not selectively deplete the allergy-relevant component; conversely, the atopic-dermatitis discordance cannot be attributed to coverage bias because the component that carries it (eosinophil_pct) is the best-retained large-weight component.</w:t>
      </w:r>
    </w:p>
    <w:p>
      <w:pPr>
        <w:spacing w:after="120" w:line="480" w:lineRule="auto"/>
      </w:pPr>
      <w:r>
        <w:rPr>
          <w:rFonts w:ascii="Times New Roman" w:hAnsi="Times New Roman"/>
          <w:b/>
          <w:i w:val="0"/>
          <w:sz w:val="24"/>
        </w:rPr>
        <w:t>(iii) Primary and sensitivity results (ST107-ST110).</w:t>
      </w:r>
      <w:r>
        <w:rPr>
          <w:rFonts w:ascii="Times New Roman" w:hAnsi="Times New Roman"/>
          <w:i w:val="0"/>
          <w:sz w:val="24"/>
        </w:rPr>
        <w:t xml:space="preserve"> Steiger-filtered IVW: asthma beta 0.380 (SE 0.192, P = 0.048, FDR q = 0.048; 28 SNPs; Cochran Q = 66.6, P = 3.3e-5; random-effects P = 0.21; weighted-median beta -0.34, P = 0.65; Egger intercept P = 0.024, cited for IVW direction only and flagged estimator-sensitive); allergic rhinitis beta 0.521 (SE 0.236, P = 0.027, q = 0.040; homogeneous, Q P = 0.24; weighted-median attenuated and non-significant (beta 0.10, P = 0.83); Egger slope direction-concordant and significant (P = 0.017)); atopic dermatitis beta -1.198 (SE 0.341, P = 4.4e-4, q = 0.001; per-SNP concordance 44%). Unfiltered (all 47 SNPs): asthma 0.577 (P = 1.9e-3), rhinitis 0.577 (P = 0.014), atopic dermatitis -1.144 (P = 6.6e-4). The full linear-combination rebuild (ST108; component-independence SE approximation) gives concordant directions. Component-level MR (ST109) localizes the AD discordance to eosinophil_pct (BBJ beta -0.71, q = 0.001, versus positive in Europe).</w:t>
      </w:r>
    </w:p>
    <w:p>
      <w:pPr>
        <w:spacing w:after="120" w:line="480" w:lineRule="auto"/>
      </w:pPr>
      <w:r>
        <w:rPr>
          <w:rFonts w:ascii="Times New Roman" w:hAnsi="Times New Roman"/>
          <w:b/>
          <w:i w:val="0"/>
          <w:sz w:val="24"/>
        </w:rPr>
        <w:t>(iv) Trait-level cross-population context (external benchmark, ref 44 Supplementary Table 6).</w:t>
      </w:r>
      <w:r>
        <w:rPr>
          <w:rFonts w:ascii="Times New Roman" w:hAnsi="Times New Roman"/>
          <w:i w:val="0"/>
          <w:sz w:val="24"/>
        </w:rPr>
        <w:t xml:space="preserve"> The BBJ atlas's own Popcorn analysis reports asthma European-East-Asian rho_ge = 0.904 (SE 0.096); atopic dermatitis and pollinosis were excluded from that table because they failed the heritability screen (LDSC h2 Z &gt; 2 and Popcorn h2 &gt; 0.01 in both populations). The AD arm's cross-ancestry status is therefore formally non-adjudicable with current East-Asian data (BBJ AD h2 insufficient), consistent with our main-text bounding of the AD claim to European ancestry.</w:t>
      </w:r>
    </w:p>
    <w:p>
      <w:pPr>
        <w:spacing w:after="120" w:line="480" w:lineRule="auto"/>
      </w:pPr>
      <w:r>
        <w:rPr>
          <w:rFonts w:ascii="Times New Roman" w:hAnsi="Times New Roman"/>
          <w:b/>
          <w:i w:val="0"/>
          <w:sz w:val="24"/>
        </w:rPr>
        <w:t>(v) Steiger caveat.</w:t>
      </w:r>
      <w:r>
        <w:rPr>
          <w:rFonts w:ascii="Times New Roman" w:hAnsi="Times New Roman"/>
          <w:i w:val="0"/>
          <w:sz w:val="24"/>
        </w:rPr>
        <w:t xml:space="preserve"> With N approximately equal on both sides, the Steiger filter approximates an effect-size ranking and removed 19-20 of 47 SNPs; the unfiltered estimates in (iii) are therefore provided as the companion sensitivity, and both are reported in the main text.</w:t>
      </w:r>
    </w:p>
    <w:p>
      <w:pPr>
        <w:pStyle w:val="Heading1"/>
      </w:pPr>
      <w:r>
        <w:rPr>
          <w:rFonts w:ascii="Times New Roman" w:hAnsi="Times New Roman"/>
          <w:color w:val="000000"/>
        </w:rPr>
        <w:t>Supplementary Note 9. R11 reframing and robustness analyses</w:t>
      </w:r>
    </w:p>
    <w:p>
      <w:pPr>
        <w:spacing w:after="120" w:line="480" w:lineRule="auto"/>
      </w:pPr>
      <w:r>
        <w:rPr>
          <w:rFonts w:ascii="Times New Roman" w:hAnsi="Times New Roman"/>
          <w:i w:val="0"/>
          <w:sz w:val="24"/>
        </w:rPr>
        <w:t>Following an independent editorial review, the manuscript was reframed from an "ageing causes allergy" narrative to a "blood-count-visible type-2 set-point" narrative, with ageing retained only as a modifier; the index was renamed the haematological type-2 index. Three new analyses and one engine were added; all R11 analyses address construct validity and robustness and alter no a priori adjudication.</w:t>
      </w:r>
    </w:p>
    <w:p>
      <w:pPr>
        <w:spacing w:after="120" w:line="480" w:lineRule="auto"/>
      </w:pPr>
      <w:r>
        <w:rPr>
          <w:rFonts w:ascii="Times New Roman" w:hAnsi="Times New Roman"/>
          <w:b/>
          <w:i w:val="0"/>
          <w:sz w:val="24"/>
        </w:rPr>
        <w:t>(i) Index construct (text-level).</w:t>
      </w:r>
      <w:r>
        <w:rPr>
          <w:rFonts w:ascii="Times New Roman" w:hAnsi="Times New Roman"/>
          <w:i w:val="0"/>
          <w:sz w:val="24"/>
        </w:rPr>
        <w:t xml:space="preserve"> The composite index's dominant weight is eosinophil percentage (0.50); its chronological-age correlation is r = 0.22 and its allergic-risk effect was age-invariant. These facts are now stated explicitly (Results, Discussion, limitation Second) as a construct limitation rather than as evidence that the index is an ageing clock.</w:t>
      </w:r>
    </w:p>
    <w:p>
      <w:pPr>
        <w:spacing w:after="120" w:line="480" w:lineRule="auto"/>
      </w:pPr>
      <w:r>
        <w:rPr>
          <w:rFonts w:ascii="Times New Roman" w:hAnsi="Times New Roman"/>
          <w:b/>
          <w:i w:val="0"/>
          <w:sz w:val="24"/>
        </w:rPr>
        <w:t>(ii) TNFSF14 instrument sensitivity (ST113).</w:t>
      </w:r>
      <w:r>
        <w:rPr>
          <w:rFonts w:ascii="Times New Roman" w:hAnsi="Times New Roman"/>
          <w:i w:val="0"/>
          <w:sz w:val="24"/>
        </w:rPr>
        <w:t xml:space="preserve"> Re-analysis of the frozen per-SNP replication table shows the TNFSF14 AGES SomaScan replication is single-instrument-dependent: rs413141 carries 71% of the inverse-variance weight and the direction is unstable under a leave-one-out (single-SNP dominance 0.71 &gt; 0.6 robustness threshold), whereas the IL18 SCALLOP and Ahola-Olli Luminex replications are robust (dominance 0.50 and 0.53; direction stable). The TNFSF14 nomination is therefore downgraded relative to IL18, and the abstract no longer implies therapeutic intervention.</w:t>
      </w:r>
    </w:p>
    <w:p>
      <w:pPr>
        <w:spacing w:after="120" w:line="480" w:lineRule="auto"/>
      </w:pPr>
      <w:r>
        <w:rPr>
          <w:rFonts w:ascii="Times New Roman" w:hAnsi="Times New Roman"/>
          <w:b/>
          <w:i w:val="0"/>
          <w:sz w:val="24"/>
        </w:rPr>
        <w:t>(iii) Incident-allergy cohort engine (ST112, synthetic validation).</w:t>
      </w:r>
      <w:r>
        <w:rPr>
          <w:rFonts w:ascii="Times New Roman" w:hAnsi="Times New Roman"/>
          <w:i w:val="0"/>
          <w:sz w:val="24"/>
        </w:rPr>
        <w:t xml:space="preserve"> A pre-specified cause-specific Cox / competing-risk / age-interaction pipeline (`src/r11/02_incident_allergy_cohort.py`) was validated on synthetic data with a known per-SD hazard ratio of 1.30 and no age interaction: the fitted HR was 1.318 (95% CI 1.29-1.35; interaction P = 0.094), confirming unbiased recovery. The engine awaits a UK Biobank / All of Us individual-level extract (extraction specification in `docs/R11/DATA_APPLICATION_UKB_AoU.md`) and provides the pre-registered analysis for the main remaining evidence gap.</w:t>
      </w:r>
    </w:p>
    <w:p>
      <w:pPr>
        <w:spacing w:after="120" w:line="480" w:lineRule="auto"/>
      </w:pPr>
      <w:r>
        <w:rPr>
          <w:rFonts w:ascii="Times New Roman" w:hAnsi="Times New Roman"/>
          <w:b/>
          <w:i w:val="0"/>
          <w:sz w:val="24"/>
        </w:rPr>
        <w:t>(iv) Independent functional-ageing exposures (pipeline ready, data-blocked).</w:t>
      </w:r>
      <w:r>
        <w:rPr>
          <w:rFonts w:ascii="Times New Roman" w:hAnsi="Times New Roman"/>
          <w:i w:val="0"/>
          <w:sz w:val="24"/>
        </w:rPr>
        <w:t xml:space="preserve"> A pipeline (`src/r11/01_independent_ageing_exposures.py`) and fetch helper are provided to re-run the dimension adjudication with DunedinPACE, healthspan, parental-longevity and organ-clock exposures that are not HLA-driven. Because the required summary statistics were not locally available at analysis time, this analysis is declared pending and no table is deposited; the frailty-versus-clock dimensionality claim is accordingly described as exploratory (limitations Second).</w:t>
      </w:r>
    </w:p>
    <w:p>
      <w:pPr>
        <w:spacing w:after="120" w:line="480" w:lineRule="auto"/>
      </w:pPr>
      <w:r>
        <w:rPr>
          <w:rFonts w:ascii="Times New Roman" w:hAnsi="Times New Roman"/>
          <w:b/>
          <w:i w:val="0"/>
          <w:sz w:val="24"/>
        </w:rPr>
        <w:t>(v) Pre-registration status.</w:t>
      </w:r>
      <w:r>
        <w:rPr>
          <w:rFonts w:ascii="Times New Roman" w:hAnsi="Times New Roman"/>
          <w:i w:val="0"/>
          <w:sz w:val="24"/>
        </w:rPr>
        <w:t xml:space="preserve"> No external OSF timestamp was obtained at analysis time; the a priori property of the R5/R6 analyses rests on file provenance and Zenodo archival (the plan has since been registered on OSF, project osf.io/f4v79; registrations qm2hy (2026-09-20) and f9d3w (2026-09-25, post-hoc layers)). This is declared in Methods and limitations Twelfth.</w:t>
      </w:r>
    </w:p>
    <w:p>
      <w:pPr>
        <w:spacing w:after="120" w:line="480" w:lineRule="auto"/>
      </w:pPr>
      <w:r>
        <w:rPr>
          <w:rFonts w:ascii="Times New Roman" w:hAnsi="Times New Roman"/>
          <w:b/>
          <w:i w:val="0"/>
          <w:sz w:val="24"/>
        </w:rPr>
        <w:t>(vi) Wet-lab protocol.</w:t>
      </w:r>
      <w:r>
        <w:rPr>
          <w:rFonts w:ascii="Times New Roman" w:hAnsi="Times New Roman"/>
          <w:i w:val="0"/>
          <w:sz w:val="24"/>
        </w:rPr>
        <w:t xml:space="preserve"> A minimal functional-validation protocol (young-versus-aged donor regulatory-T-cell IL4 function; IL18 blockade in aged epithelial organoids with IL33/TSLP readouts) is provided in `docs/R11/WETLAB_PROTOCOL.md`; it is not yet executed and no functional claim is made.</w:t>
      </w:r>
    </w:p>
    <w:p>
      <w:pPr>
        <w:pStyle w:val="Heading1"/>
      </w:pPr>
      <w:r>
        <w:rPr>
          <w:rFonts w:ascii="Times New Roman" w:hAnsi="Times New Roman"/>
          <w:color w:val="000000"/>
        </w:rPr>
        <w:t>Supplementary Note 10. Post-hoc strengthening analyses (Plan A/B)</w:t>
      </w:r>
    </w:p>
    <w:p>
      <w:pPr>
        <w:spacing w:after="120" w:line="480" w:lineRule="auto"/>
      </w:pPr>
      <w:r>
        <w:rPr>
          <w:rFonts w:ascii="Times New Roman" w:hAnsi="Times New Roman"/>
          <w:i w:val="0"/>
          <w:sz w:val="24"/>
        </w:rPr>
        <w:t>Post-hoc analyses strengthen the drug-target, disease-spectrum and construct-validity layers; none alters the a priori adjudication.</w:t>
      </w:r>
    </w:p>
    <w:p>
      <w:pPr>
        <w:spacing w:after="120" w:line="480" w:lineRule="auto"/>
      </w:pPr>
      <w:r>
        <w:rPr>
          <w:rFonts w:ascii="Times New Roman" w:hAnsi="Times New Roman"/>
          <w:b/>
          <w:i w:val="0"/>
          <w:sz w:val="24"/>
        </w:rPr>
        <w:t>(i) Cross-platform pQTL replication of IL18 and TNFSF14 (ST127-ST128).</w:t>
      </w:r>
      <w:r>
        <w:rPr>
          <w:rFonts w:ascii="Times New Roman" w:hAnsi="Times New Roman"/>
          <w:i w:val="0"/>
          <w:sz w:val="24"/>
        </w:rPr>
        <w:t xml:space="preserve"> The HELIC Olink cohort (Gilly et al. 2020; GCST90010141), previously not estimable because the frozen instrument coordinates are GRCh37 and HELIC is GRCh38, was resolved by mapping the three IL18 instrument SNPs to GRCh38 coordinates: all three were direction-concordant and the fixed-effect IVW replicated the IL18 atopic-dermatitis effect (OR 1.22, P = 1.1e-8). A cross-platform inverse-variance meta-analysis now combines three IL18 platforms (SCALLOP Olink, Ahola-Olli Luminex, HELIC Olink; pooled OR 1.19, 95% CI 1.15-1.23, P = 3.6e-23, I2 = 0%) and two TNFSF14 platforms (AGES and INTERVAL SomaScan; pooled OR 1.13, 1.05-1.22, P = 8.8e-4, I2 = 68%). IL18 therefore rests on three cross-platform replications using the same three cis instruments, of which only the HELIC (Olink) and Ahola-Olli (Luminex) layers are independent of the discovery meta-analysis (SCALLOP Consortium); TNFSF14 remains single-platform-type and rests on a single independent layer (AGES; INTERVAL is a discovery constituent). The deCODE SomaScan and UK Biobank-PPP layers remain access-blocked (captcha form and Synapse token respectively) and the per-mask UK Biobank-exome gene-burden odds ratios sit behind the Open Targets Genetics portal (unreachable in the analysis environment); as a proxy, gnomAD loss-of-function constraint is reported in ST129 (IL18 LoF score 0.32, i.e. not strongly LoF-intolerant; IL33 approximately 0).</w:t>
      </w:r>
    </w:p>
    <w:p>
      <w:pPr>
        <w:spacing w:after="120" w:line="480" w:lineRule="auto"/>
      </w:pPr>
      <w:r>
        <w:rPr>
          <w:rFonts w:ascii="Times New Roman" w:hAnsi="Times New Roman"/>
          <w:b/>
          <w:i w:val="0"/>
          <w:sz w:val="24"/>
        </w:rPr>
        <w:t>(ii) Type-2 disease-spectrum MR (ST130).</w:t>
      </w:r>
      <w:r>
        <w:rPr>
          <w:rFonts w:ascii="Times New Roman" w:hAnsi="Times New Roman"/>
          <w:i w:val="0"/>
          <w:sz w:val="24"/>
        </w:rPr>
        <w:t xml:space="preserve"> The 101-SNP composite index instrument was tested against independent UK Biobank endpoints (Pan-UK Biobank, EUR): asthma (icd10-J45) OR 2.78 (P = 5.4e-100), allergic rhinitis (phecode 476) OR 1.58 (P = 0.023) and urticaria (icd10-L50) OR 1.04 (P = 0.92), with null estimates at the non-type-2 negative controls type 1 diabetes (OR 0.85, P = 0.24) and rheumatoid arthritis (OR 1.10, P = 0.39). The index therefore replicates positively for asthma and rhinitis in UK Biobank, is null for urticaria, and retains specificity against non-type-2 autoimmune endpoints. Additional externally downloaded type-2 endpoints (eosinophilic esophagitis, chronic rhinosinusitis with nasal polyps) could not be retrieved within the analysis environment (throughput-limited GWAS Catalog transfer) and remain to be added.</w:t>
      </w:r>
    </w:p>
    <w:p>
      <w:pPr>
        <w:spacing w:after="120" w:line="480" w:lineRule="auto"/>
      </w:pPr>
      <w:r>
        <w:rPr>
          <w:rFonts w:ascii="Times New Roman" w:hAnsi="Times New Roman"/>
          <w:b/>
          <w:i w:val="0"/>
          <w:sz w:val="24"/>
        </w:rPr>
        <w:t>(iii) Non-HLA frailty re-adjudication (ST131).</w:t>
      </w:r>
      <w:r>
        <w:rPr>
          <w:rFonts w:ascii="Times New Roman" w:hAnsi="Times New Roman"/>
          <w:i w:val="0"/>
          <w:sz w:val="24"/>
        </w:rPr>
        <w:t xml:space="preserve"> To test whether the frailty-allergy signal is carried by HLA content, the frailty instrument was rebuilt from the 13 of 99 instrument SNPs that lie outside every canonical immune locus (ST02 minus ST63) and tested as a non-HLA instrument against FinnGen R12 and Pan-UK Biobank outcomes: asthma OR 3.85 (P = 2.0e-13, FinnGen) and OR 2.38 (P = 4.6e-12, Pan-UKB), allergic rhinitis OR 2.67 (FinnGen), atopic dermatitis OR 1.60 (FinnGen), with the UK Biobank rhinitis and urticaria estimates null. The association therefore survives complete removal of immune-locus content, so the frailty dimension's link to allergy is not an HLA artefact. </w:t>
      </w:r>
      <w:r>
        <w:rPr>
          <w:rFonts w:ascii="Times New Roman" w:hAnsi="Times New Roman"/>
          <w:b/>
          <w:i w:val="0"/>
          <w:sz w:val="24"/>
        </w:rPr>
        <w:t>(iv) External healthspan dimension re-adjudication (ST132).</w:t>
      </w:r>
      <w:r>
        <w:rPr>
          <w:rFonts w:ascii="Times New Roman" w:hAnsi="Times New Roman"/>
          <w:i w:val="0"/>
          <w:sz w:val="24"/>
        </w:rPr>
        <w:t xml:space="preserve"> To provide an independent, non-HLA, powered ageing exposure, the Timmers 2019 healthspan GWAS (GCST007406; n = 300,447 British-ancestry individuals) was retrieved; after excluding the MHC window (chr6:25-34 Mb), 13 genome-wide-significant SNPs were available as an instrument. Against the FinnGen outcomes this external instrument showed a nominal, direction-consistent protective association with asthma (OR 0.67, 95% CI 0.53-0.86, P = 1.2e-3; I2 = 0%) and null estimates for allergic rhinitis (OR 0.86, P = 0.17) and atopic dermatitis (OR 0.93, P = 0.37). Because healthspan is a positive-valence measure, a protective OR is the direction that mirrors the frailty-risk axis (worse ageing, higher allergy), so this provides an external non-HLA anchor for the ageing direction in asthma, albeit with two caveats: the association is nominal (not FDR-corrected across outcomes) and the healthspan signal is cardiometabolically weighted (for example TCF7L2, CDKN2B, SH2B3), so it may partly reflect metabolic rather than intrinsic ageing biology. A DunedinPACE GWAS remained unavailable.</w:t>
      </w:r>
    </w:p>
    <w:p>
      <w:pPr>
        <w:spacing w:after="120" w:line="480" w:lineRule="auto"/>
      </w:pPr>
      <w:r>
        <w:rPr>
          <w:rFonts w:ascii="Times New Roman" w:hAnsi="Times New Roman"/>
          <w:b/>
          <w:i w:val="0"/>
          <w:sz w:val="24"/>
        </w:rPr>
        <w:t>(v) Genetic-level eosinophil decomposition of the composite index (ST133, ST136).</w:t>
      </w:r>
      <w:r>
        <w:rPr>
          <w:rFonts w:ascii="Times New Roman" w:hAnsi="Times New Roman"/>
          <w:i w:val="0"/>
          <w:sz w:val="24"/>
        </w:rPr>
        <w:t xml:space="preserve"> To test whether the composite index's allergic associations are carried by its dominant eosinophil component (weight 0.50) at the genetic level, the forward MR against the three FinnGen R12 outcomes was re-run with the 17 eosinophil-percentage SNPs removed (73 harmonized SNPs), alongside the full (88 SNP) and eosinophil-only (15 SNP) instruments under identical allele-aware harmonization (palindromic SNPs with outcome allele frequency 0.42-0.58 dropped). The reported mean first-stage F of approximately 1,229 is the mean per-SNP F = (beta/SE)^2 computed in the large Pan-UKBB component scans in which these SNPs were selected at genome-wide significance; it therefore certifies selection strength in the selection GWAS (and is winner's-curse inflated as a selection statistic) and is not comparable to the frailty/clock instrument F values computed in their smaller source GWAS. A first-stage F comparable to the frailty/clock instruments cannot be defined for the index because its per-SNP effects are estimated in the selection scans rather than in the outcome GWAS; the index MR estimates are therefore presented with explicit weak-instrument caution and are accompanied by MR-Egger and weighted-median sensitivity (ST133). The full instrument reproduced the archived estimates almost exactly (asthma OR 2.34 versus 2.32 archived), validating the re-harmonization. The eosinophil-free instrument retained the atopic-dermatitis association (OR 2.02, P = 2.0e-9; random-effects P = 5.9e-3; weighted-median OR 3.37) but was attenuated to nominal significance for asthma (OR 1.42, P = 0.046; random-effects P = 0.45; I2 = 86%) and null for allergic rhinitis (OR 0.80, P = 0.17), whereas the eosinophil-only instrument was strongly associated with all three outcomes (OR 1.85-2.59; random-effects P &lt;= 9.7e-4). All three harmonization rules examined (dropping ambiguous palindromes, frequency-oriented retention, as-is retention) gave eosinophil-free asthma estimates of OR 1.37-1.42, so the attenuation is not an artefact of palindromic handling; an earlier internal r3 sensitivity estimate (asthma OR 2.81, n = 84) was not allele-aware (it included an allele-mismatched SNP and SNPs unmatched in the outcome) and is superseded by this analysis; the superseded estimate was stronger than the full-index estimate across all three outcomes (asthma 2.81 versus 2.32; rhinitis 1.86 versus 1.62; atopic dermatitis 2.47 versus 1.90), a divergence consistent with allele-mismatch contamination rather than with genuine eosinophil-free carriage. Replication in an independent cohort (Pan-UK Biobank; ST136) applied the identical three instruments under identical harmonisation to UK Biobank asthma (icd10-J45), allergic rhinitis (phecode 476) and urticaria (icd10-L50): the full index associated with asthma (OR 2.79) and rhinitis (OR 1.57); the eosinophil-free instrument lost the rhinitis association (OR 1.53, P = 0.39) but was positive and significant for asthma (OR 1.86, P = 1.7e-7; random-effects P = 0.034; weighted median 2.74), so the FinnGen eosinophil-free asthma attenuation (OR 1.42, random-effects P = 0.45) reflects limited power rather than eosinophil carriage and the asthma result did not replicate; the eosinophil-only instrument was strongly associated with both (OR 3.03 and 1.58) and the urticaria control was null. Interpretation: the rhinitis association is predominantly eosinophil-carried and the atopic-dermatitis association includes a substantial non-eosinophil genetic signal (FinnGen; atopic dermatitis is not available in Pan-UK Biobank), whereas the asthma decomposition did not replicate (the eosinophil-free instrument was positive in both cohorts and significant only in the larger), so no eosinophil-carrying claim is made for asthma; this contrasts with the phenotype level (ST124), where an eosinophil-free index remained associated with self-reported allergy (OR 1.63) but not with total IgE.</w:t>
      </w:r>
    </w:p>
    <w:p>
      <w:pPr>
        <w:spacing w:after="120" w:line="480" w:lineRule="auto"/>
      </w:pPr>
      <w:r>
        <w:rPr>
          <w:rFonts w:ascii="Times New Roman" w:hAnsi="Times New Roman"/>
          <w:b/>
          <w:i w:val="0"/>
          <w:sz w:val="24"/>
        </w:rPr>
        <w:t>(vi) Formal frailty-versus-clock genetic-correlation contrasts (ST134).</w:t>
      </w:r>
      <w:r>
        <w:rPr>
          <w:rFonts w:ascii="Times New Roman" w:hAnsi="Times New Roman"/>
          <w:i w:val="0"/>
          <w:sz w:val="24"/>
        </w:rPr>
        <w:t xml:space="preserve"> The dimension adjudication was formalized by testing rg(Frailty, outcome) minus rg(clock, outcome) for each of the four clocks and three outcomes (12 contrasts, BH-FDR; z on the difference with SE under a conservative independence assumption on the shared-outcome sampling covariance; a rho = 0.5 correlated sensitivity gives stronger contrasts). For asthma, the frailty correlation (0.458) significantly exceeded every clock (GrimAge 0.165, Hannum 0.113, IEAA 0.083, PhenoAge 0.082; differences 0.29-0.38, all q &lt;= 4.3e-4, 95% CIs non-overlapping); for allergic rhinitis likewise (frailty 0.353 versus clocks -0.05 to 0.04; all q &lt;= 1.4e-3). For atopic dermatitis the frailty correlation (0.250) did not significantly exceed any clock, and the PhenoAge correlation (0.274) was nominally larger (difference -0.02, P = 0.83). The independent Python-3 LDSC implementation (ST126) reproduced the same pattern (asthma q &lt;= 5.8e-4; rhinitis q &lt;= 1.8e-3; atopic dermatitis all null). The dimension-level advantage of the functional dimension is therefore supported under the two non-canonical implementations used here for asthma and rhinitis but not for atopic dermatitis, whose dimension attribution remains unresolved; this outcome-specificity is now stated in the abstract, Results and Conclusions.</w:t>
      </w:r>
    </w:p>
    <w:p>
      <w:pPr>
        <w:spacing w:after="120" w:line="480" w:lineRule="auto"/>
      </w:pPr>
      <w:r>
        <w:rPr>
          <w:rFonts w:ascii="Times New Roman" w:hAnsi="Times New Roman"/>
          <w:b/>
          <w:i w:val="0"/>
          <w:sz w:val="24"/>
        </w:rPr>
        <w:t>(vii) Formal Steiger directionality audit (ST135, per-SNP detail ST135b).</w:t>
      </w:r>
      <w:r>
        <w:rPr>
          <w:rFonts w:ascii="Times New Roman" w:hAnsi="Times New Roman"/>
          <w:i w:val="0"/>
          <w:sz w:val="24"/>
        </w:rPr>
        <w:t xml:space="preserve"> Editorial review noted that the reverse-MR bound (reverse effects at least 8.9-fold below forward effects on the log-OR scale) is a cross-scale magnitude comparison, not a formal directionality test, and that the reverse chain tests allergic outcomes against blood-cell traits rather than against ageing itself. A formal SNP-level Steiger variance-explained audit of the forward analysis (5 ageing instruments + composite index x 3 FinnGen outcomes; R2 = 2 x EAF x (1-EAF) x beta^2 per side, orientation-free; Fisher-z contrast with per-SNP effective N) shows: (a) every clock-instrument SNP explains more variance in its exposure than in the outcome across all three outcomes (100% correct direction, all Steiger-significant; sum-R2 ratios 14-3953); (b) the frailty instrument is only 48% correct-direction for asthma, with the median SNP explaining more variance in the outcome than in the frailty exposure and, among Steiger-significant SNPs, ten wrong-direction versus two correct (all at canonical allergy/immune loci), so single-SNP direction for frailty-asthma is largely undeterminable; the frailty-asthma direction rests instead on the MHC-free genome-wide genetic correlation (ST59-ST60, ST126) and the non-HLA instrument re-adjudication (ST131), not on individual SNPs; for rhinitis and atopic dermatitis the frailty instrument was predominantly correct-direction (80% and 72%); (c) for the composite index, 29-37% of SNPs explain more variance in the outcome than in the index, the expected signature of blood-cell SNPs residing in allergy loci. Interpretation: the forward direction is formally supported for the clock instruments and, for the frailty instrument, only at the genome-wide (MHC-free) level, not at the single-SNP level for asthma; allergy-to-ageing feedback remains untested directly because the reverse outcomes are blood-cell traits, not ageing. The main text and limitation Fourth now state this explicitly, and the 8.9-fold comparison is labelled as descriptive.</w:t>
      </w:r>
    </w:p>
    <w:p>
      <w:pPr>
        <w:spacing w:after="120" w:line="480" w:lineRule="auto"/>
      </w:pPr>
      <w:r>
        <w:rPr>
          <w:rFonts w:ascii="Times New Roman" w:hAnsi="Times New Roman"/>
          <w:b/>
          <w:i w:val="0"/>
          <w:sz w:val="24"/>
        </w:rPr>
        <w:t>(viii) Canonical LDSC re-computation and MHC sensitivity (ST137-ST138).</w:t>
      </w:r>
      <w:r>
        <w:rPr>
          <w:rFonts w:ascii="Times New Roman" w:hAnsi="Times New Roman"/>
          <w:i w:val="0"/>
          <w:sz w:val="24"/>
        </w:rPr>
        <w:t xml:space="preserve"> The frailty-versus-clock dimension contrast was re-computed with the canonical Bulik-Sullivan implementation (ldsc v1.0.1) under the standard protocol: munge_sumstats.py on the published GWAS (McCartney clock GWAS GCST90014288-92; Atkins frailty GCST90020053; FinnGen R12 outcomes; w_hm3.snplist allele merge), then ldsc.py --rg on the published 1000 Genomes Phase 3 HapMap3 weights with the MHC excluded (weights.hm3_noMHC;.l2.M derived as per-chromosome reference SNP counts; --not-M-5-50, which scales h2 but leaves rg unchanged because the SNP-count factor cancels in the ratio). The original Python-2-era code required only mechanical interpreter-compatibility patches (xrange,.ix, print, map, tab alignment; no algorithmic change; patched tree and run logs archived under data/r6/canonical_ldsc). All fifteen correlations were recovered with absolute rg differences from the in-house engine of 0.001-0.086 (median 0.025); the frailty correlations were nearly identical (asthma 0.467 vs 0.458; rhinitis 0.361 vs 0.353; atopic dermatitis 0.246 vs 0.246; Supplementary Table 137). Formal contrasts under the canonical engine (same z-on-difference procedure as ST134, both SE conventions) reproduce the asthma (all q &lt;= 2.6e-3, rho=0) and rhinitis (all q &lt;= 2.1e-3) dimension advantages; for atopic dermatitis the contrast is convention-dependent (not significant under the conservative rho = 0 SE; significant for three of four clocks under the rho = 0.5 convention; Supplementary Table 138), refining rather than overturning the in-house boundary. An MHC-included sensitivity reference (LDscore.1kgPhase3.hm3) raised the frailty correlations by only 0.019-0.033 (asthma 0.492, rhinitis 0.380, atopic dermatitis 0.279; Supplementary Table 137), confirming at the genome-wide level that the frailty-allergy correlation is not carried by the HLA region.</w:t>
      </w:r>
    </w:p>
    <w:p>
      <w:pPr>
        <w:spacing w:after="120" w:line="480" w:lineRule="auto"/>
      </w:pPr>
      <w:r>
        <w:rPr>
          <w:rFonts w:ascii="Times New Roman" w:hAnsi="Times New Roman"/>
          <w:b/>
          <w:i w:val="0"/>
          <w:sz w:val="24"/>
        </w:rPr>
        <w:t>(ix) Donor-level single-cell expression-age analysis (ST139-ST145; Supplementary Figs. 11, 12, 14).</w:t>
      </w:r>
      <w:r>
        <w:rPr>
          <w:rFonts w:ascii="Times New Roman" w:hAnsi="Times New Roman"/>
          <w:i w:val="0"/>
          <w:sz w:val="24"/>
        </w:rPr>
        <w:t xml:space="preserve"> The full Tabula Sapiens 2.0 Immune atlas (592,317 cells; 24 donors; 22-74 years; 74 tissues; decontXcounts decontaminated counts) and the Lung atlas (65,847 cells; 3 donors aged 59-61) were analysed with the donor as the inferential unit. Per donor and cell type, gene counts were summed and divided by total counts (expression rate). The primary model is an equal-donor-weighted regression of the log expression rate on donor age; count-weighted Poisson models treat cells from one donor as independent replicates (pseudo-replication) and are reported as sensitivity only. Pre-declared families: a five-test regulatory-T-cell family (IL4 primary; IL13, GATA3, FOXP3, IL5 context) and a four-test translational family (IL18 and TNFSF14 in their two dominant immune compartments). Results: IL5 rises with donor age in regulatory T cells (2,649 cells, 12 donors; rate ratio 1.72 per decade, 95% CI 1.15-2.58, P = 0.025; family q = 0.13); IL4 is directionally concordant (1.97, 0.78-5.02, P = 0.18; family q = 0.46) but correlated with the pre-specified plasma-cell ambient proxy (rho = 0.59, P = 0.045) and is therefore downgraded; GATA3, FOXP3 and IL13 show no association (all P &gt; 0.38). IL18 is barely detected in circulating immune cells but localizes in lung to alveolar macrophages (75% of cells), alveolar type 1 (71%) and type 2 (55%) epithelium and basal cells (59%), with IL33 confirming the expected basal-epithelial source (62%); TNFSF14 localizes to mononuclear phagocytes (96%). Erratum (2026-10-09): the extraction dictionary used for this layer mis-mapped the TSLP probe to ENSG00000162591 (MEGF6); the lung TSLP rows in Supplementary Table 145 have been recomputed from the correct probe (ENSG00000145777: basal cell 15.4%, alveolar type 2 3.6%, so TSLP is no longer the alveolar type 2 positive control and IL33 is used instead), and the immune-atlas TSLP rows in Supplementary Table 141b, which cannot be recomputed in the current environment, have been removed as superseded. All other gene probes in the extraction dictionary were verified against the atlas var annotation (IL4, IL13, GATA3, FOXP3, IL5, IL18, TNFSF14, IL33, TNF correct); no other deposited table is affected, and the ageing-atlas module/gene analyses (ST90-ST92) were symbol-mapped and are unaffected. Age slopes for IL18/TNFSF14 were not estimable (3-17 informative donors; ST143). A falsification test for ambient RNA compared donor-level regulatory-T-cell target rates with plasma-cell rates (a non-expressing reference). This layer is post hoc relative to the R6 plan with internally pre-declared families (documented in the archived analysis package); all single-cell claims are descriptive or nominal and hypothesis-generating, and no a priori adjudication is altered.</w:t>
      </w:r>
    </w:p>
    <w:p>
      <w:pPr>
        <w:spacing w:after="120" w:line="480" w:lineRule="auto"/>
      </w:pPr>
      <w:r>
        <w:rPr>
          <w:rFonts w:ascii="Times New Roman" w:hAnsi="Times New Roman"/>
          <w:b/>
          <w:i w:val="0"/>
          <w:sz w:val="24"/>
        </w:rPr>
        <w:t>(x) NHANES target-trial emulation (ST146, ST152; Supplementary Fig. 6).</w:t>
      </w:r>
      <w:r>
        <w:rPr>
          <w:rFonts w:ascii="Times New Roman" w:hAnsi="Times New Roman"/>
          <w:i w:val="0"/>
          <w:sz w:val="24"/>
        </w:rPr>
        <w:t xml:space="preserve"> To frame the blood-index association in a causal-inference design, a target trial of high (&gt;= median) versus low index assignment was emulated among NHANES 2017-2018 adults with complete index, outcome and covariates (n = 4,403; 689 allergic-composite events, asthma-anchored). Propensity scores for high-index assignment used age, sex, BMI, smoking status, race/ethnicity and the family income-to-poverty ratio (smoking pack-years unavailable in the merged extract); stabilized inverse-probability weights were combined with examination survey weights; weighted logistic models clustered by primary sampling unit estimated the odds ratio. High versus low index: OR 1.86 (95% CI 1.38-2.49, P = 3.5e-5); risk-ratio-scale E-value 2.66 (confidence-limit 1.94; converted from the odds ratio at the 15.6% outcome prevalence); per-SD weighted sensitivity 1.45 (1.17-1.79). The E-value bounds, but cannot exclude, unmeasured confounding; it is computed on the risk-ratio scale because the outcome is not rare. Drug-subgroup emulations (mTOR inhibitors, methotrexate, JAK or IL-6/IL-1 inhibitors versus comparators) were mostly underpowered (exposed n = 0-25) and are reported descriptively without inferential claims (ST152).</w:t>
      </w:r>
    </w:p>
    <w:p>
      <w:pPr>
        <w:spacing w:after="120" w:line="480" w:lineRule="auto"/>
      </w:pPr>
      <w:r>
        <w:rPr>
          <w:rFonts w:ascii="Times New Roman" w:hAnsi="Times New Roman"/>
          <w:b/>
          <w:i w:val="0"/>
          <w:sz w:val="24"/>
        </w:rPr>
        <w:t>(xi) Gene-level triangulation and drug connectivity (ST147-ST151).</w:t>
      </w:r>
      <w:r>
        <w:rPr>
          <w:rFonts w:ascii="Times New Roman" w:hAnsi="Times New Roman"/>
          <w:i w:val="0"/>
          <w:sz w:val="24"/>
        </w:rPr>
        <w:t xml:space="preserve"> Independent evidence lines were assembled per candidate gene: cis-eQTL MR against the three FinnGen outcomes (eQTLGen instruments; Wald ratio; 21 genes), approximate colocalization PP.H4, PRISM pooled viability scores, ChEMBL mechanism annotations and FAERS allergy-domain signals (ST147-ST148). RORC (OR 0.66, P = 0.007, PP.H4 0.96) and IL6 (OR 1.40, P = 0.044, PP.H4 0.90) carried three lines each; IL4 was protective (OR 0.58, P = 1.3e-8, PP.H4 approximately 1.0). LINCS L1000 Level 5 connectivity was computed for eleven drugs against an ageing-signature gene set and an alarmin/type-2 set (IL33, IL25, IL4, IL5, IL13; TSLP is not measured in the landmark gene set; mean z across signature genes per signature, aggregated per drug as mean/SE; ST149, ST151). Ageing signature: dasatinib, ruxolitinib, tofacitinib, navitoclax and quercetin suppressed (all q &lt;= 0.033; azithromycin marginal q = 0.055). Alarmin signature: dasatinib and tofacitinib upregulated and azithromycin suppressed (all q = 0.024); mTOR inhibitors null. No drug suppressed both signatures, so the senolytic-anti-alarmin combination logic remains hypothesis-generating; the earlier internal mTOR-alarmin signal was not reproduced under the current signature and is superseded. PRISM nominated SRC and IL6-pathway inhibitors among top target-drug pairs (ST150).</w:t>
      </w:r>
    </w:p>
    <w:p>
      <w:pPr>
        <w:spacing w:after="120" w:line="480" w:lineRule="auto"/>
      </w:pPr>
      <w:r>
        <w:rPr>
          <w:rFonts w:ascii="Times New Roman" w:hAnsi="Times New Roman"/>
          <w:b/>
          <w:i w:val="0"/>
          <w:sz w:val="24"/>
        </w:rPr>
        <w:t>(xii) Formal set-point drift model (ST153-ST155, ST154b; Supplementary Fig. 4).</w:t>
      </w:r>
      <w:r>
        <w:rPr>
          <w:rFonts w:ascii="Times New Roman" w:hAnsi="Times New Roman"/>
          <w:i w:val="0"/>
          <w:sz w:val="24"/>
        </w:rPr>
        <w:t xml:space="preserve"> The composite-index dynamics were formalized as an Ornstein-Uhlenbeck homeostat, X = S(age) + e, with S(age) = S0 + beta x (age - 50)/10 and stationary variance sigma2/(2 x lambda(age)); a declining-damping model lambda(age) = lambda0 x exp(-delta x (age - 50)/10) makes log residual variance linear in age with slope delta, so delta &gt; 0 would be the cross-sectional signature of declining homeostatic resilience. The index was rebuilt from components (correlation 0.991 with the archived extract) in NHANES cycles D (2005-2006) and J (2017-2018); all models are survey-weighted (WTMEC2YR; pooled weights halved) with strata/PSU-clustered standard errors. Drift: the index rose at 0.074 SD per decade pooled (95% CI 0.060-0.088, P = 1.2e-25, n = 9,360), independently in cycle J (0.089, P = 5.1e-20) and cycle D (0.056, P = 1.3e-9), and at 0.066 after BMI adjustment (ST153); the cycle-specific rates differ descriptively (0.089 vs 0.056; overlapping CIs), plausibly reflecting period/cohort composition, and the pooled estimate is reported as primary; these adult (20+) estimates are shallower than the per-decade slope implied by the archived full-age-range correlation (r = 0.22), which additionally spans the steeper adolescent-to-adult maturation rise. Drift shape: a hinge model outperformed linear drift (best knot 55-60 years; pooled delta-AIC 18.3; cluster-bootstrap knot median 55, IQR 55-60, boundary fraction 0.04): the drift is stable but accelerates approximately threefold after age 55-60 (pooled pre-knot 0.039 versus post-knot 0.137 SD per decade; increment 0.098, P = 7.2e-4; per-cycle: J 0.057 to 0.188, D 0.024 to 0.111), with no plateau (ST155, ST156). Drift specificity: the drift is NOT type-2-specific -- eosinophil and neutrophil components drift comparably (pooled 0.039, P = 1.8e-8 versus 0.044, P = 8.8e-10 SD per decade; per-cycle concordant), and the equal-weight index replicates the drift (0.068, P = 6.1e-23) -- so the type-2 specificity of the index resides in its allergic-risk gain rather than in the drift itself (ST156). The full component panel recapitulates the canonical age-related myeloid-skew signature: lymphocytes drift down (-0.077 SD per decade, P = 7.0e-27), monocytes drift up (+0.081, P = 4.7e-24) and total white-cell count is essentially flat (-0.013, P = 0.013), so the index drift is a weighted sum of compositional myeloid skew rather than leukocytosis, converging with the genetic-layer decomposition (ST89) (ST156). Resilience: residual dispersion did not increase monotonically with age (delta = 0.000 per decade pooled, P = 0.99; delta = 0.022 in J, P = 0.29; delta = -0.028 in D, P = 0.19; sex-stratified and equal-weight-index sensitivities concordant), so the cross-sectional critical-slowing signature is absent through mid-adulthood; decade-bin dispersion is U-shaped (weighted Brown-Forsythe P = 0.007), elevated below 30 and above 70, which we report as a compositional observation without a resilience claim (ST154, ST154b). Re-estimating delta from the hinge-model residuals gave the same null (J 0.030, P = 0.13; D -0.032, P = 0.10; pooled 0.010, P = 0.49; ST154), so the absent dispersion trend is not an artefact of the linear mean specification. Gain invariance: the risk effect showed no age amplification for the J-cycle allergic composite (interaction P = 0.94) or for the objective D-cycle IgE outcomes (log-IgE interaction P = 0.14; high-IgE interaction nominally attenuating, beta = -0.062, P = 0.021, opposite in direction to amplification) (ST155). These cycle-specific, BMI-adjusted adult estimates complement the pooled full-age-range interaction of Supplementary Table 16 (weighted P = 0.394); the two families differ in outcome definition, age range and covariates, and concur in direction (no age amplification anywhere). Interpretation: the adult phase reads as set-point drift with intact damping and an age-invariant gain, with the critical-slowing signature documented in HRS decedents not visible in cross-sectional adult dispersion; cross-sectional age trends confound birth-cohort effects, so the drift parameters are population-level descriptions, and the model's incident-cohort predictions (drift rate predicts onset; early-warning signals precede onset; age-invariant gain re-estimates unchanged) remain to be tested.</w:t>
      </w:r>
    </w:p>
    <w:p>
      <w:pPr>
        <w:pStyle w:val="Heading1"/>
      </w:pPr>
      <w:r>
        <w:rPr>
          <w:rFonts w:ascii="Times New Roman" w:hAnsi="Times New Roman"/>
          <w:color w:val="000000"/>
        </w:rPr>
        <w:t>Supplementary Note 11. Fourth-round editorial revision (R35, 2026-10-09)</w:t>
      </w:r>
    </w:p>
    <w:p>
      <w:pPr>
        <w:spacing w:after="120" w:line="480" w:lineRule="auto"/>
      </w:pPr>
      <w:r>
        <w:rPr>
          <w:rFonts w:ascii="Times New Roman" w:hAnsi="Times New Roman"/>
          <w:i w:val="0"/>
          <w:sz w:val="24"/>
        </w:rPr>
        <w:t>This note records six additions made in response to independent editorial review. No new empirical data were generated; every number derives from the already-deposited result tables.</w:t>
      </w:r>
    </w:p>
    <w:p>
      <w:pPr>
        <w:spacing w:after="120" w:line="480" w:lineRule="auto"/>
      </w:pPr>
      <w:r>
        <w:rPr>
          <w:rFonts w:ascii="Times New Roman" w:hAnsi="Times New Roman"/>
          <w:b/>
          <w:i w:val="0"/>
          <w:sz w:val="24"/>
        </w:rPr>
        <w:t>(i) Objective-IgE layer vs eosinophil decomposition (ST124; reconciles the main-text eosinophil-independence claim).</w:t>
      </w:r>
      <w:r>
        <w:rPr>
          <w:rFonts w:ascii="Times New Roman" w:hAnsi="Times New Roman"/>
          <w:i w:val="0"/>
          <w:sz w:val="24"/>
        </w:rPr>
        <w:t xml:space="preserve"> The main text reports that the full composite index predicts objective IgE (ST19: log-IgE beta 0.310; high-IgE OR 1.53) and, separately, that an eosinophil-free index retains the *self-reported* allergy association (ST124, J cycle: OR 1.63 composite vs 1.07 eosinophils-alone). ST124 shows these two layers do not coincide for IgE: in cycle D the eosinophil-free index is null for log-IgE (beta 0.005, P = 0.88) and high-IgE (OR 1.04, P = 0.45), whereas the eosinophil-only index carries the signal (log-IgE beta 0.351, P = 6.4e-25; high-IgE OR 1.53, P = 2.0e-20). The objective-IgE validation therefore certifies construct validity of the full type-2 index and is eosinophil-carried; eosinophil-independence is demonstrated for the self-reported association only. The main text (Results 3.4, 3.5; Discussion) now states this explicitly. The value discrepancy between ST19 (idx_pub log-IgE beta 0.310) and ST124 (idx_pub log-IgE beta 0.210) reflects differing covariate/weighting specifications, declared here.</w:t>
      </w:r>
    </w:p>
    <w:p>
      <w:pPr>
        <w:spacing w:after="120" w:line="480" w:lineRule="auto"/>
      </w:pPr>
      <w:r>
        <w:rPr>
          <w:rFonts w:ascii="Times New Roman" w:hAnsi="Times New Roman"/>
          <w:b/>
          <w:i w:val="0"/>
          <w:sz w:val="24"/>
        </w:rPr>
        <w:t>(ii) Composite-index Steiger audit (ST135).</w:t>
      </w:r>
      <w:r>
        <w:rPr>
          <w:rFonts w:ascii="Times New Roman" w:hAnsi="Times New Roman"/>
          <w:i w:val="0"/>
          <w:sz w:val="24"/>
        </w:rPr>
        <w:t xml:space="preserve"> The per-SNP Steiger audit was previously reported for the frailty instrument only. The magnitude-carrying composite index is the least directionally resolvable: for asthma, 37% of SNPs explain more variance in the index than in the outcome, and among Steiger-significant SNPs 19 point in the wrong direction versus 3 correct (binomial P = 0.017); frailty-instrument values were 48% (asthma), 80% (rhinitis), 72% (atopic dermatitis). Composite odds ratios are therefore reported as association magnitudes; direction rests on the MHC-free genetic correlation and the non-HLA instrument (ST131). Now stated in main-text limitation (vii).</w:t>
      </w:r>
    </w:p>
    <w:p>
      <w:pPr>
        <w:spacing w:after="120" w:line="480" w:lineRule="auto"/>
      </w:pPr>
      <w:r>
        <w:rPr>
          <w:rFonts w:ascii="Times New Roman" w:hAnsi="Times New Roman"/>
          <w:b/>
          <w:i w:val="0"/>
          <w:sz w:val="24"/>
        </w:rPr>
        <w:t>(iii) Knowledge-layer enrichment is deposited (KB01).</w:t>
      </w:r>
      <w:r>
        <w:rPr>
          <w:rFonts w:ascii="Times New Roman" w:hAnsi="Times New Roman"/>
          <w:i w:val="0"/>
          <w:sz w:val="24"/>
        </w:rPr>
        <w:t xml:space="preserve"> The 17-gene type-2/alarmin panel (IL4, IL5, IL13, TSLP, IL33, IL18, TNFSF14, RORC, IL6, TNF, GATA3, STAT6, IL1R1, IL1RL1, IL5RA, IL25, IL17RB; n = 17) overlaps the 500 curated Homo sapiens Aging Atlas genes (`data/real/aging_atlas/gene_sets_all.csv`) at 4 genes (IL1R1, IL6, TNF, TNFSF14; modules NF-kB-related, deregulated nutrient sensing, altered intercellular communication). Fisher enrichment against a ~20,018-gene protein-coding universe gives OR 12.1 (P = 7.1e-4); the NF-kB-related module (human n = 47) carries 2 panel genes (TNFSF14, IL1R1; OR 59.1, P = 7.1e-4). IL18 is absent from all 12 Aging Atlas modules. Membership, module sizes and universe conventions are deposited as KB01 (`KB01_aging_atlas_panel_enrichment.csv`), making the enrichment independently reproducible.</w:t>
      </w:r>
    </w:p>
    <w:p>
      <w:pPr>
        <w:spacing w:after="120" w:line="480" w:lineRule="auto"/>
      </w:pPr>
      <w:r>
        <w:rPr>
          <w:rFonts w:ascii="Times New Roman" w:hAnsi="Times New Roman"/>
          <w:b/>
          <w:i w:val="0"/>
          <w:sz w:val="24"/>
        </w:rPr>
        <w:t>(iv) Cross-sectional drift terminology (ST153).</w:t>
      </w:r>
      <w:r>
        <w:rPr>
          <w:rFonts w:ascii="Times New Roman" w:hAnsi="Times New Roman"/>
          <w:i w:val="0"/>
          <w:sz w:val="24"/>
        </w:rPr>
        <w:t xml:space="preserve"> The two NHANES cycles are samples of the same survey and are described as "reproduced across the two survey cycles" rather than "independently replicated"; cycle-specific rates (D 0.056; J 0.089) and the cycle x age interaction (0.033, P = 0.012) are reported as possible period/cohort composition, with the decomposition direction arguing against cohort inflation.</w:t>
      </w:r>
    </w:p>
    <w:p>
      <w:pPr>
        <w:spacing w:after="120" w:line="480" w:lineRule="auto"/>
      </w:pPr>
      <w:r>
        <w:rPr>
          <w:rFonts w:ascii="Times New Roman" w:hAnsi="Times New Roman"/>
          <w:b/>
          <w:i w:val="0"/>
          <w:sz w:val="24"/>
        </w:rPr>
        <w:t>(v) Clock directionality (ST01, ST58).</w:t>
      </w:r>
      <w:r>
        <w:rPr>
          <w:rFonts w:ascii="Times New Roman" w:hAnsi="Times New Roman"/>
          <w:i w:val="0"/>
          <w:sz w:val="24"/>
        </w:rPr>
        <w:t xml:space="preserve"> IEAA is significantly *protective* for asthma in both discovery and the replication meta-analysis (discovery OR 0.986, P = 3.2e-5; meta OR 0.990, P = 5.9e-5); PhenoAge is protective in discovery (OR 0.945) but attenuates in the meta (P = 0.081). This strengthens the "differently coupled dimension" reading (not "no clock effect"); now stated in the Results.</w:t>
      </w:r>
    </w:p>
    <w:p>
      <w:pPr>
        <w:spacing w:after="120" w:line="480" w:lineRule="auto"/>
      </w:pPr>
      <w:r>
        <w:rPr>
          <w:rFonts w:ascii="Times New Roman" w:hAnsi="Times New Roman"/>
          <w:b/>
          <w:i w:val="0"/>
          <w:sz w:val="24"/>
        </w:rPr>
        <w:t>(vi) Incident-allergy engine is synthetic (ST112).</w:t>
      </w:r>
      <w:r>
        <w:rPr>
          <w:rFonts w:ascii="Times New Roman" w:hAnsi="Times New Roman"/>
          <w:i w:val="0"/>
          <w:sz w:val="24"/>
        </w:rPr>
        <w:t xml:space="preserve"> ST112 is a *simulated* validation of the pre-registered incident-allergy Cox/competing-risk engine on data with a known per-SD hazard ratio of 1.30 and no age interaction (fitted HR 1.318); it contains no empirical cohort and is labelled SYNTHETIC in the table legend.</w:t>
      </w:r>
    </w:p>
    <w:p>
      <w:pPr>
        <w:pStyle w:val="Heading1"/>
      </w:pPr>
      <w:r>
        <w:rPr>
          <w:rFonts w:ascii="Times New Roman" w:hAnsi="Times New Roman"/>
          <w:color w:val="000000"/>
        </w:rPr>
        <w:t>Supplementary Tables 1-117, 124-156 and KB01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rFonts w:ascii="Times New Roman" w:hAnsi="Times New Roman"/>
                <w:b/>
                <w:i w:val="0"/>
                <w:sz w:val="20"/>
              </w:rPr>
              <w:t>Table</w:t>
            </w:r>
          </w:p>
        </w:tc>
        <w:tc>
          <w:tcPr>
            <w:tcW w:type="dxa" w:w="2160"/>
          </w:tcPr>
          <w:p>
            <w:r>
              <w:rPr>
                <w:b/>
              </w:rPr>
            </w:r>
            <w:r>
              <w:rPr>
                <w:rFonts w:ascii="Times New Roman" w:hAnsi="Times New Roman"/>
                <w:b/>
                <w:i w:val="0"/>
                <w:sz w:val="20"/>
              </w:rPr>
              <w:t>Title</w:t>
            </w:r>
          </w:p>
        </w:tc>
        <w:tc>
          <w:tcPr>
            <w:tcW w:type="dxa" w:w="2160"/>
          </w:tcPr>
          <w:p>
            <w:r>
              <w:rPr>
                <w:b/>
              </w:rPr>
            </w:r>
            <w:r>
              <w:rPr>
                <w:rFonts w:ascii="Times New Roman" w:hAnsi="Times New Roman"/>
                <w:b/>
                <w:i w:val="0"/>
                <w:sz w:val="20"/>
              </w:rPr>
              <w:t>Description</w:t>
            </w:r>
          </w:p>
        </w:tc>
        <w:tc>
          <w:tcPr>
            <w:tcW w:type="dxa" w:w="2160"/>
          </w:tcPr>
          <w:p>
            <w:r>
              <w:rPr>
                <w:b/>
              </w:rPr>
            </w:r>
            <w:r>
              <w:rPr>
                <w:rFonts w:ascii="Times New Roman" w:hAnsi="Times New Roman"/>
                <w:b/>
                <w:i w:val="0"/>
                <w:sz w:val="20"/>
              </w:rPr>
              <w:t>File</w:t>
            </w:r>
          </w:p>
        </w:tc>
      </w:tr>
      <w:tr>
        <w:tc>
          <w:tcPr>
            <w:tcW w:type="dxa" w:w="2160"/>
          </w:tcPr>
          <w:p>
            <w:r/>
            <w:r>
              <w:rPr>
                <w:rFonts w:ascii="Times New Roman" w:hAnsi="Times New Roman"/>
                <w:i w:val="0"/>
                <w:sz w:val="20"/>
              </w:rPr>
              <w:t>ST1</w:t>
            </w:r>
          </w:p>
        </w:tc>
        <w:tc>
          <w:tcPr>
            <w:tcW w:type="dxa" w:w="2160"/>
          </w:tcPr>
          <w:p>
            <w:r/>
            <w:r>
              <w:rPr>
                <w:rFonts w:ascii="Times New Roman" w:hAnsi="Times New Roman"/>
                <w:i w:val="0"/>
                <w:sz w:val="20"/>
              </w:rPr>
              <w:t>Five-instrument ageing MR estimator battery</w:t>
            </w:r>
          </w:p>
        </w:tc>
        <w:tc>
          <w:tcPr>
            <w:tcW w:type="dxa" w:w="2160"/>
          </w:tcPr>
          <w:p>
            <w:r/>
            <w:r>
              <w:rPr>
                <w:rFonts w:ascii="Times New Roman" w:hAnsi="Times New Roman"/>
                <w:i w:val="0"/>
                <w:sz w:val="20"/>
              </w:rPr>
              <w:t>IVW, random-effects IVW, MR-Egger, weighted-median and MR-PRESSO estimates with F statistics, Cochran Q and FDR flags for 5 ageing instruments x 3 allergic outcomes (FinnGen R12).</w:t>
            </w:r>
          </w:p>
        </w:tc>
        <w:tc>
          <w:tcPr>
            <w:tcW w:type="dxa" w:w="2160"/>
          </w:tcPr>
          <w:p>
            <w:r/>
            <w:r>
              <w:rPr>
                <w:rFonts w:ascii="Times New Roman" w:hAnsi="Times New Roman"/>
                <w:i w:val="0"/>
                <w:sz w:val="20"/>
              </w:rPr>
              <w:t>`ST01_r5_orthogonal_aging_mr.csv`</w:t>
            </w:r>
          </w:p>
        </w:tc>
      </w:tr>
      <w:tr>
        <w:tc>
          <w:tcPr>
            <w:tcW w:type="dxa" w:w="2160"/>
          </w:tcPr>
          <w:p>
            <w:r/>
            <w:r>
              <w:rPr>
                <w:rFonts w:ascii="Times New Roman" w:hAnsi="Times New Roman"/>
                <w:i w:val="0"/>
                <w:sz w:val="20"/>
              </w:rPr>
              <w:t>ST2</w:t>
            </w:r>
          </w:p>
        </w:tc>
        <w:tc>
          <w:tcPr>
            <w:tcW w:type="dxa" w:w="2160"/>
          </w:tcPr>
          <w:p>
            <w:r/>
            <w:r>
              <w:rPr>
                <w:rFonts w:ascii="Times New Roman" w:hAnsi="Times New Roman"/>
                <w:i w:val="0"/>
                <w:sz w:val="20"/>
              </w:rPr>
              <w:t>Clumped ageing instruments</w:t>
            </w:r>
          </w:p>
        </w:tc>
        <w:tc>
          <w:tcPr>
            <w:tcW w:type="dxa" w:w="2160"/>
          </w:tcPr>
          <w:p>
            <w:r/>
            <w:r>
              <w:rPr>
                <w:rFonts w:ascii="Times New Roman" w:hAnsi="Times New Roman"/>
                <w:i w:val="0"/>
                <w:sz w:val="20"/>
              </w:rPr>
              <w:t>LD-clumped SNP instruments for GrimAge, Hannum, IEAA, PhenoAge and the frailty index, with effect alleles, betas and instrument-strength contributions.</w:t>
            </w:r>
          </w:p>
        </w:tc>
        <w:tc>
          <w:tcPr>
            <w:tcW w:type="dxa" w:w="2160"/>
          </w:tcPr>
          <w:p>
            <w:r/>
            <w:r>
              <w:rPr>
                <w:rFonts w:ascii="Times New Roman" w:hAnsi="Times New Roman"/>
                <w:i w:val="0"/>
                <w:sz w:val="20"/>
              </w:rPr>
              <w:t>`ST02_r5_aging_instruments_clumped.csv`</w:t>
            </w:r>
          </w:p>
        </w:tc>
      </w:tr>
      <w:tr>
        <w:tc>
          <w:tcPr>
            <w:tcW w:type="dxa" w:w="2160"/>
          </w:tcPr>
          <w:p>
            <w:r/>
            <w:r>
              <w:rPr>
                <w:rFonts w:ascii="Times New Roman" w:hAnsi="Times New Roman"/>
                <w:i w:val="0"/>
                <w:sz w:val="20"/>
              </w:rPr>
              <w:t>ST3</w:t>
            </w:r>
          </w:p>
        </w:tc>
        <w:tc>
          <w:tcPr>
            <w:tcW w:type="dxa" w:w="2160"/>
          </w:tcPr>
          <w:p>
            <w:r/>
            <w:r>
              <w:rPr>
                <w:rFonts w:ascii="Times New Roman" w:hAnsi="Times New Roman"/>
                <w:i w:val="0"/>
                <w:sz w:val="20"/>
              </w:rPr>
              <w:t>MR-PRESSO summary per instrument-outcome pair</w:t>
            </w:r>
          </w:p>
        </w:tc>
        <w:tc>
          <w:tcPr>
            <w:tcW w:type="dxa" w:w="2160"/>
          </w:tcPr>
          <w:p>
            <w:r/>
            <w:r>
              <w:rPr>
                <w:rFonts w:ascii="Times New Roman" w:hAnsi="Times New Roman"/>
                <w:i w:val="0"/>
                <w:sz w:val="20"/>
              </w:rPr>
              <w:t>Global horizontal-pleiotropy test P values and outlier-corrected causal estimates for all 15 pairs.</w:t>
            </w:r>
          </w:p>
        </w:tc>
        <w:tc>
          <w:tcPr>
            <w:tcW w:type="dxa" w:w="2160"/>
          </w:tcPr>
          <w:p>
            <w:r/>
            <w:r>
              <w:rPr>
                <w:rFonts w:ascii="Times New Roman" w:hAnsi="Times New Roman"/>
                <w:i w:val="0"/>
                <w:sz w:val="20"/>
              </w:rPr>
              <w:t>`ST03_r5_presso_summary.csv`</w:t>
            </w:r>
          </w:p>
        </w:tc>
      </w:tr>
      <w:tr>
        <w:tc>
          <w:tcPr>
            <w:tcW w:type="dxa" w:w="2160"/>
          </w:tcPr>
          <w:p>
            <w:r/>
            <w:r>
              <w:rPr>
                <w:rFonts w:ascii="Times New Roman" w:hAnsi="Times New Roman"/>
                <w:i w:val="0"/>
                <w:sz w:val="20"/>
              </w:rPr>
              <w:t>ST4</w:t>
            </w:r>
          </w:p>
        </w:tc>
        <w:tc>
          <w:tcPr>
            <w:tcW w:type="dxa" w:w="2160"/>
          </w:tcPr>
          <w:p>
            <w:r/>
            <w:r>
              <w:rPr>
                <w:rFonts w:ascii="Times New Roman" w:hAnsi="Times New Roman"/>
                <w:i w:val="0"/>
                <w:sz w:val="20"/>
              </w:rPr>
              <w:t>MR-PRESSO outlier SNPs</w:t>
            </w:r>
          </w:p>
        </w:tc>
        <w:tc>
          <w:tcPr>
            <w:tcW w:type="dxa" w:w="2160"/>
          </w:tcPr>
          <w:p>
            <w:r/>
            <w:r>
              <w:rPr>
                <w:rFonts w:ascii="Times New Roman" w:hAnsi="Times New Roman"/>
                <w:i w:val="0"/>
                <w:sz w:val="20"/>
              </w:rPr>
              <w:t>Per-SNP outlier calls (17, 16 and 12 outliers for asthma, atopic dermatitis and rhinitis analyses).</w:t>
            </w:r>
          </w:p>
        </w:tc>
        <w:tc>
          <w:tcPr>
            <w:tcW w:type="dxa" w:w="2160"/>
          </w:tcPr>
          <w:p>
            <w:r/>
            <w:r>
              <w:rPr>
                <w:rFonts w:ascii="Times New Roman" w:hAnsi="Times New Roman"/>
                <w:i w:val="0"/>
                <w:sz w:val="20"/>
              </w:rPr>
              <w:t>`ST04_r5_presso_outliers.csv`</w:t>
            </w:r>
          </w:p>
        </w:tc>
      </w:tr>
      <w:tr>
        <w:tc>
          <w:tcPr>
            <w:tcW w:type="dxa" w:w="2160"/>
          </w:tcPr>
          <w:p>
            <w:r/>
            <w:r>
              <w:rPr>
                <w:rFonts w:ascii="Times New Roman" w:hAnsi="Times New Roman"/>
                <w:i w:val="0"/>
                <w:sz w:val="20"/>
              </w:rPr>
              <w:t>ST5</w:t>
            </w:r>
          </w:p>
        </w:tc>
        <w:tc>
          <w:tcPr>
            <w:tcW w:type="dxa" w:w="2160"/>
          </w:tcPr>
          <w:p>
            <w:r/>
            <w:r>
              <w:rPr>
                <w:rFonts w:ascii="Times New Roman" w:hAnsi="Times New Roman"/>
                <w:i w:val="0"/>
                <w:sz w:val="20"/>
              </w:rPr>
              <w:t>MR-RAPS versus IVW estimates</w:t>
            </w:r>
          </w:p>
        </w:tc>
        <w:tc>
          <w:tcPr>
            <w:tcW w:type="dxa" w:w="2160"/>
          </w:tcPr>
          <w:p>
            <w:r/>
            <w:r>
              <w:rPr>
                <w:rFonts w:ascii="Times New Roman" w:hAnsi="Times New Roman"/>
                <w:i w:val="0"/>
                <w:sz w:val="20"/>
              </w:rPr>
              <w:t>Robust adjusted profile score estimates compared with IVW for the composite haematological type-2 index.</w:t>
            </w:r>
          </w:p>
        </w:tc>
        <w:tc>
          <w:tcPr>
            <w:tcW w:type="dxa" w:w="2160"/>
          </w:tcPr>
          <w:p>
            <w:r/>
            <w:r>
              <w:rPr>
                <w:rFonts w:ascii="Times New Roman" w:hAnsi="Times New Roman"/>
                <w:i w:val="0"/>
                <w:sz w:val="20"/>
              </w:rPr>
              <w:t>`ST05_r5_raps_vs_ivw.csv`</w:t>
            </w:r>
          </w:p>
        </w:tc>
      </w:tr>
      <w:tr>
        <w:tc>
          <w:tcPr>
            <w:tcW w:type="dxa" w:w="2160"/>
          </w:tcPr>
          <w:p>
            <w:r/>
            <w:r>
              <w:rPr>
                <w:rFonts w:ascii="Times New Roman" w:hAnsi="Times New Roman"/>
                <w:i w:val="0"/>
                <w:sz w:val="20"/>
              </w:rPr>
              <w:t>ST6</w:t>
            </w:r>
          </w:p>
        </w:tc>
        <w:tc>
          <w:tcPr>
            <w:tcW w:type="dxa" w:w="2160"/>
          </w:tcPr>
          <w:p>
            <w:r/>
            <w:r>
              <w:rPr>
                <w:rFonts w:ascii="Times New Roman" w:hAnsi="Times New Roman"/>
                <w:i w:val="0"/>
                <w:sz w:val="20"/>
              </w:rPr>
              <w:t>Bidirectional MR matrix</w:t>
            </w:r>
          </w:p>
        </w:tc>
        <w:tc>
          <w:tcPr>
            <w:tcW w:type="dxa" w:w="2160"/>
          </w:tcPr>
          <w:p>
            <w:r/>
            <w:r>
              <w:rPr>
                <w:rFonts w:ascii="Times New Roman" w:hAnsi="Times New Roman"/>
                <w:i w:val="0"/>
                <w:sz w:val="20"/>
              </w:rPr>
              <w:t>15 forward (5 ageing instruments x 3 outcomes) and 24 reverse (3 outcomes x 8 blood-cell traits) instrument pairs on the log-OR scale; maximum reverse effect &gt;= 8.9-fold smaller than the forward effect.</w:t>
            </w:r>
          </w:p>
        </w:tc>
        <w:tc>
          <w:tcPr>
            <w:tcW w:type="dxa" w:w="2160"/>
          </w:tcPr>
          <w:p>
            <w:r/>
            <w:r>
              <w:rPr>
                <w:rFonts w:ascii="Times New Roman" w:hAnsi="Times New Roman"/>
                <w:i w:val="0"/>
                <w:sz w:val="20"/>
              </w:rPr>
              <w:t>`ST06_r5_bidirectional_matrix.csv`</w:t>
            </w:r>
          </w:p>
        </w:tc>
      </w:tr>
      <w:tr>
        <w:tc>
          <w:tcPr>
            <w:tcW w:type="dxa" w:w="2160"/>
          </w:tcPr>
          <w:p>
            <w:r/>
            <w:r>
              <w:rPr>
                <w:rFonts w:ascii="Times New Roman" w:hAnsi="Times New Roman"/>
                <w:i w:val="0"/>
                <w:sz w:val="20"/>
              </w:rPr>
              <w:t>ST7</w:t>
            </w:r>
          </w:p>
        </w:tc>
        <w:tc>
          <w:tcPr>
            <w:tcW w:type="dxa" w:w="2160"/>
          </w:tcPr>
          <w:p>
            <w:r/>
            <w:r>
              <w:rPr>
                <w:rFonts w:ascii="Times New Roman" w:hAnsi="Times New Roman"/>
                <w:i w:val="0"/>
                <w:sz w:val="20"/>
              </w:rPr>
              <w:t>Reverse MR against blood components</w:t>
            </w:r>
          </w:p>
        </w:tc>
        <w:tc>
          <w:tcPr>
            <w:tcW w:type="dxa" w:w="2160"/>
          </w:tcPr>
          <w:p>
            <w:r/>
            <w:r>
              <w:rPr>
                <w:rFonts w:ascii="Times New Roman" w:hAnsi="Times New Roman"/>
                <w:i w:val="0"/>
                <w:sz w:val="20"/>
              </w:rPr>
              <w:t>Allergic-outcome instruments (asthma 174, rhinitis 22, atopic dermatitis 185 SNPs) tested against six Pan-UKBB blood-cell-trait principal components and two Astle blood traits.</w:t>
            </w:r>
          </w:p>
        </w:tc>
        <w:tc>
          <w:tcPr>
            <w:tcW w:type="dxa" w:w="2160"/>
          </w:tcPr>
          <w:p>
            <w:r/>
            <w:r>
              <w:rPr>
                <w:rFonts w:ascii="Times New Roman" w:hAnsi="Times New Roman"/>
                <w:i w:val="0"/>
                <w:sz w:val="20"/>
              </w:rPr>
              <w:t>`ST07_r5_reverse_mr_components.csv`</w:t>
            </w:r>
          </w:p>
        </w:tc>
      </w:tr>
      <w:tr>
        <w:tc>
          <w:tcPr>
            <w:tcW w:type="dxa" w:w="2160"/>
          </w:tcPr>
          <w:p>
            <w:r/>
            <w:r>
              <w:rPr>
                <w:rFonts w:ascii="Times New Roman" w:hAnsi="Times New Roman"/>
                <w:i w:val="0"/>
                <w:sz w:val="20"/>
              </w:rPr>
              <w:t>ST8</w:t>
            </w:r>
          </w:p>
        </w:tc>
        <w:tc>
          <w:tcPr>
            <w:tcW w:type="dxa" w:w="2160"/>
          </w:tcPr>
          <w:p>
            <w:r/>
            <w:r>
              <w:rPr>
                <w:rFonts w:ascii="Times New Roman" w:hAnsi="Times New Roman"/>
                <w:i w:val="0"/>
                <w:sz w:val="20"/>
              </w:rPr>
              <w:t>Winner's-curse correction</w:t>
            </w:r>
          </w:p>
        </w:tc>
        <w:tc>
          <w:tcPr>
            <w:tcW w:type="dxa" w:w="2160"/>
          </w:tcPr>
          <w:p>
            <w:r/>
            <w:r>
              <w:rPr>
                <w:rFonts w:ascii="Times New Roman" w:hAnsi="Times New Roman"/>
                <w:i w:val="0"/>
                <w:sz w:val="20"/>
              </w:rPr>
              <w:t>Naive (n = 46 SNPs) versus selection-corrected (n = 88 SNPs) composite-index estimates (OR 1.678 vs 1.645).</w:t>
            </w:r>
          </w:p>
        </w:tc>
        <w:tc>
          <w:tcPr>
            <w:tcW w:type="dxa" w:w="2160"/>
          </w:tcPr>
          <w:p>
            <w:r/>
            <w:r>
              <w:rPr>
                <w:rFonts w:ascii="Times New Roman" w:hAnsi="Times New Roman"/>
                <w:i w:val="0"/>
                <w:sz w:val="20"/>
              </w:rPr>
              <w:t>`ST08_r5_winners_curse_corrected.csv`</w:t>
            </w:r>
          </w:p>
        </w:tc>
      </w:tr>
      <w:tr>
        <w:tc>
          <w:tcPr>
            <w:tcW w:type="dxa" w:w="2160"/>
          </w:tcPr>
          <w:p>
            <w:r/>
            <w:r>
              <w:rPr>
                <w:rFonts w:ascii="Times New Roman" w:hAnsi="Times New Roman"/>
                <w:i w:val="0"/>
                <w:sz w:val="20"/>
              </w:rPr>
              <w:t>ST9</w:t>
            </w:r>
          </w:p>
        </w:tc>
        <w:tc>
          <w:tcPr>
            <w:tcW w:type="dxa" w:w="2160"/>
          </w:tcPr>
          <w:p>
            <w:r/>
            <w:r>
              <w:rPr>
                <w:rFonts w:ascii="Times New Roman" w:hAnsi="Times New Roman"/>
                <w:i w:val="0"/>
                <w:sz w:val="20"/>
              </w:rPr>
              <w:t>Astle selection-sensitivity analysis</w:t>
            </w:r>
          </w:p>
        </w:tc>
        <w:tc>
          <w:tcPr>
            <w:tcW w:type="dxa" w:w="2160"/>
          </w:tcPr>
          <w:p>
            <w:r/>
            <w:r>
              <w:rPr>
                <w:rFonts w:ascii="Times New Roman" w:hAnsi="Times New Roman"/>
                <w:i w:val="0"/>
                <w:sz w:val="20"/>
              </w:rPr>
              <w:t>Independent Astle-GWAS re-estimation of the composite haematological type-2 index; direction-concordant with the primary estimate.</w:t>
            </w:r>
          </w:p>
        </w:tc>
        <w:tc>
          <w:tcPr>
            <w:tcW w:type="dxa" w:w="2160"/>
          </w:tcPr>
          <w:p>
            <w:r/>
            <w:r>
              <w:rPr>
                <w:rFonts w:ascii="Times New Roman" w:hAnsi="Times New Roman"/>
                <w:i w:val="0"/>
                <w:sz w:val="20"/>
              </w:rPr>
              <w:t>`ST09_r5_astle_selection_sensitivity.csv`</w:t>
            </w:r>
          </w:p>
        </w:tc>
      </w:tr>
      <w:tr>
        <w:tc>
          <w:tcPr>
            <w:tcW w:type="dxa" w:w="2160"/>
          </w:tcPr>
          <w:p>
            <w:r/>
            <w:r>
              <w:rPr>
                <w:rFonts w:ascii="Times New Roman" w:hAnsi="Times New Roman"/>
                <w:i w:val="0"/>
                <w:sz w:val="20"/>
              </w:rPr>
              <w:t>ST10</w:t>
            </w:r>
          </w:p>
        </w:tc>
        <w:tc>
          <w:tcPr>
            <w:tcW w:type="dxa" w:w="2160"/>
          </w:tcPr>
          <w:p>
            <w:r/>
            <w:r>
              <w:rPr>
                <w:rFonts w:ascii="Times New Roman" w:hAnsi="Times New Roman"/>
                <w:i w:val="0"/>
                <w:sz w:val="20"/>
              </w:rPr>
              <w:t>SNP-level heterogeneity clusters</w:t>
            </w:r>
          </w:p>
        </w:tc>
        <w:tc>
          <w:tcPr>
            <w:tcW w:type="dxa" w:w="2160"/>
          </w:tcPr>
          <w:p>
            <w:r/>
            <w:r>
              <w:rPr>
                <w:rFonts w:ascii="Times New Roman" w:hAnsi="Times New Roman"/>
                <w:i w:val="0"/>
                <w:sz w:val="20"/>
              </w:rPr>
              <w:t>Cluster assignment of the 93 composite-index SNPs from instrument-outcome effect profiles (2 clusters).</w:t>
            </w:r>
          </w:p>
        </w:tc>
        <w:tc>
          <w:tcPr>
            <w:tcW w:type="dxa" w:w="2160"/>
          </w:tcPr>
          <w:p>
            <w:r/>
            <w:r>
              <w:rPr>
                <w:rFonts w:ascii="Times New Roman" w:hAnsi="Times New Roman"/>
                <w:i w:val="0"/>
                <w:sz w:val="20"/>
              </w:rPr>
              <w:t>`ST10_r5_heterogeneity_snp_clusters.csv`</w:t>
            </w:r>
          </w:p>
        </w:tc>
      </w:tr>
      <w:tr>
        <w:tc>
          <w:tcPr>
            <w:tcW w:type="dxa" w:w="2160"/>
          </w:tcPr>
          <w:p>
            <w:r/>
            <w:r>
              <w:rPr>
                <w:rFonts w:ascii="Times New Roman" w:hAnsi="Times New Roman"/>
                <w:i w:val="0"/>
                <w:sz w:val="20"/>
              </w:rPr>
              <w:t>ST11</w:t>
            </w:r>
          </w:p>
        </w:tc>
        <w:tc>
          <w:tcPr>
            <w:tcW w:type="dxa" w:w="2160"/>
          </w:tcPr>
          <w:p>
            <w:r/>
            <w:r>
              <w:rPr>
                <w:rFonts w:ascii="Times New Roman" w:hAnsi="Times New Roman"/>
                <w:i w:val="0"/>
                <w:sz w:val="20"/>
              </w:rPr>
              <w:t>Heterogeneity-cluster statistics</w:t>
            </w:r>
          </w:p>
        </w:tc>
        <w:tc>
          <w:tcPr>
            <w:tcW w:type="dxa" w:w="2160"/>
          </w:tcPr>
          <w:p>
            <w:r/>
            <w:r>
              <w:rPr>
                <w:rFonts w:ascii="Times New Roman" w:hAnsi="Times New Roman"/>
                <w:i w:val="0"/>
                <w:sz w:val="20"/>
              </w:rPr>
              <w:t>Cluster-level mean standardized component effects distinguishing the frailty-like and clock-like clusters.</w:t>
            </w:r>
          </w:p>
        </w:tc>
        <w:tc>
          <w:tcPr>
            <w:tcW w:type="dxa" w:w="2160"/>
          </w:tcPr>
          <w:p>
            <w:r/>
            <w:r>
              <w:rPr>
                <w:rFonts w:ascii="Times New Roman" w:hAnsi="Times New Roman"/>
                <w:i w:val="0"/>
                <w:sz w:val="20"/>
              </w:rPr>
              <w:t>`ST11_r5_heterogeneity_cluster_enrichment.csv`</w:t>
            </w:r>
          </w:p>
        </w:tc>
      </w:tr>
      <w:tr>
        <w:tc>
          <w:tcPr>
            <w:tcW w:type="dxa" w:w="2160"/>
          </w:tcPr>
          <w:p>
            <w:r/>
            <w:r>
              <w:rPr>
                <w:rFonts w:ascii="Times New Roman" w:hAnsi="Times New Roman"/>
                <w:i w:val="0"/>
                <w:sz w:val="20"/>
              </w:rPr>
              <w:t>ST12</w:t>
            </w:r>
          </w:p>
        </w:tc>
        <w:tc>
          <w:tcPr>
            <w:tcW w:type="dxa" w:w="2160"/>
          </w:tcPr>
          <w:p>
            <w:r/>
            <w:r>
              <w:rPr>
                <w:rFonts w:ascii="Times New Roman" w:hAnsi="Times New Roman"/>
                <w:i w:val="0"/>
                <w:sz w:val="20"/>
              </w:rPr>
              <w:t>Cluster annotation enrichment</w:t>
            </w:r>
          </w:p>
        </w:tc>
        <w:tc>
          <w:tcPr>
            <w:tcW w:type="dxa" w:w="2160"/>
          </w:tcPr>
          <w:p>
            <w:r/>
            <w:r>
              <w:rPr>
                <w:rFonts w:ascii="Times New Roman" w:hAnsi="Times New Roman"/>
                <w:i w:val="0"/>
                <w:sz w:val="20"/>
              </w:rPr>
              <w:t>Functional annotation enrichment of the instrument mechanism clusters.</w:t>
            </w:r>
          </w:p>
        </w:tc>
        <w:tc>
          <w:tcPr>
            <w:tcW w:type="dxa" w:w="2160"/>
          </w:tcPr>
          <w:p>
            <w:r/>
            <w:r>
              <w:rPr>
                <w:rFonts w:ascii="Times New Roman" w:hAnsi="Times New Roman"/>
                <w:i w:val="0"/>
                <w:sz w:val="20"/>
              </w:rPr>
              <w:t>`ST12_r5_cluster_annotation_enrichment.csv`</w:t>
            </w:r>
          </w:p>
        </w:tc>
      </w:tr>
      <w:tr>
        <w:tc>
          <w:tcPr>
            <w:tcW w:type="dxa" w:w="2160"/>
          </w:tcPr>
          <w:p>
            <w:r/>
            <w:r>
              <w:rPr>
                <w:rFonts w:ascii="Times New Roman" w:hAnsi="Times New Roman"/>
                <w:i w:val="0"/>
                <w:sz w:val="20"/>
              </w:rPr>
              <w:t>ST13</w:t>
            </w:r>
          </w:p>
        </w:tc>
        <w:tc>
          <w:tcPr>
            <w:tcW w:type="dxa" w:w="2160"/>
          </w:tcPr>
          <w:p>
            <w:r/>
            <w:r>
              <w:rPr>
                <w:rFonts w:ascii="Times New Roman" w:hAnsi="Times New Roman"/>
                <w:i w:val="0"/>
                <w:sz w:val="20"/>
              </w:rPr>
              <w:t>Composite-index SNP cluster membership</w:t>
            </w:r>
          </w:p>
        </w:tc>
        <w:tc>
          <w:tcPr>
            <w:tcW w:type="dxa" w:w="2160"/>
          </w:tcPr>
          <w:p>
            <w:r/>
            <w:r>
              <w:rPr>
                <w:rFonts w:ascii="Times New Roman" w:hAnsi="Times New Roman"/>
                <w:i w:val="0"/>
                <w:sz w:val="20"/>
              </w:rPr>
              <w:t>Per-SNP cluster labels and effect profiles for the 93-instrument composite index (3 clusters).</w:t>
            </w:r>
          </w:p>
        </w:tc>
        <w:tc>
          <w:tcPr>
            <w:tcW w:type="dxa" w:w="2160"/>
          </w:tcPr>
          <w:p>
            <w:r/>
            <w:r>
              <w:rPr>
                <w:rFonts w:ascii="Times New Roman" w:hAnsi="Times New Roman"/>
                <w:i w:val="0"/>
                <w:sz w:val="20"/>
              </w:rPr>
              <w:t>`ST13_r5_snp_clusters.csv`</w:t>
            </w:r>
          </w:p>
        </w:tc>
      </w:tr>
      <w:tr>
        <w:tc>
          <w:tcPr>
            <w:tcW w:type="dxa" w:w="2160"/>
          </w:tcPr>
          <w:p>
            <w:r/>
            <w:r>
              <w:rPr>
                <w:rFonts w:ascii="Times New Roman" w:hAnsi="Times New Roman"/>
                <w:i w:val="0"/>
                <w:sz w:val="20"/>
              </w:rPr>
              <w:t>ST14</w:t>
            </w:r>
          </w:p>
        </w:tc>
        <w:tc>
          <w:tcPr>
            <w:tcW w:type="dxa" w:w="2160"/>
          </w:tcPr>
          <w:p>
            <w:r/>
            <w:r>
              <w:rPr>
                <w:rFonts w:ascii="Times New Roman" w:hAnsi="Times New Roman"/>
                <w:i w:val="0"/>
                <w:sz w:val="20"/>
              </w:rPr>
              <w:t>Survey-weighted NHANES estimates</w:t>
            </w:r>
          </w:p>
        </w:tc>
        <w:tc>
          <w:tcPr>
            <w:tcW w:type="dxa" w:w="2160"/>
          </w:tcPr>
          <w:p>
            <w:r/>
            <w:r>
              <w:rPr>
                <w:rFonts w:ascii="Times New Roman" w:hAnsi="Times New Roman"/>
                <w:i w:val="0"/>
                <w:sz w:val="20"/>
              </w:rPr>
              <w:t>Design-weighted odds ratios and hazard ratios with cluster-robust standard errors across allergic outcomes, IgE biomarkers and mortality (cycles D and J, n = 14,878).</w:t>
            </w:r>
          </w:p>
        </w:tc>
        <w:tc>
          <w:tcPr>
            <w:tcW w:type="dxa" w:w="2160"/>
          </w:tcPr>
          <w:p>
            <w:r/>
            <w:r>
              <w:rPr>
                <w:rFonts w:ascii="Times New Roman" w:hAnsi="Times New Roman"/>
                <w:i w:val="0"/>
                <w:sz w:val="20"/>
              </w:rPr>
              <w:t>`ST14_r5_nhanes_weighted_results.csv`</w:t>
            </w:r>
          </w:p>
        </w:tc>
      </w:tr>
      <w:tr>
        <w:tc>
          <w:tcPr>
            <w:tcW w:type="dxa" w:w="2160"/>
          </w:tcPr>
          <w:p>
            <w:r/>
            <w:r>
              <w:rPr>
                <w:rFonts w:ascii="Times New Roman" w:hAnsi="Times New Roman"/>
                <w:i w:val="0"/>
                <w:sz w:val="20"/>
              </w:rPr>
              <w:t>ST15</w:t>
            </w:r>
          </w:p>
        </w:tc>
        <w:tc>
          <w:tcPr>
            <w:tcW w:type="dxa" w:w="2160"/>
          </w:tcPr>
          <w:p>
            <w:r/>
            <w:r>
              <w:rPr>
                <w:rFonts w:ascii="Times New Roman" w:hAnsi="Times New Roman"/>
                <w:i w:val="0"/>
                <w:sz w:val="20"/>
              </w:rPr>
              <w:t>Weighted versus unweighted comparison</w:t>
            </w:r>
          </w:p>
        </w:tc>
        <w:tc>
          <w:tcPr>
            <w:tcW w:type="dxa" w:w="2160"/>
          </w:tcPr>
          <w:p>
            <w:r/>
            <w:r>
              <w:rPr>
                <w:rFonts w:ascii="Times New Roman" w:hAnsi="Times New Roman"/>
                <w:i w:val="0"/>
                <w:sz w:val="20"/>
              </w:rPr>
              <w:t>Side-by-side estimates; +8.5% weighting shift against the a priori 30% materiality threshold.</w:t>
            </w:r>
          </w:p>
        </w:tc>
        <w:tc>
          <w:tcPr>
            <w:tcW w:type="dxa" w:w="2160"/>
          </w:tcPr>
          <w:p>
            <w:r/>
            <w:r>
              <w:rPr>
                <w:rFonts w:ascii="Times New Roman" w:hAnsi="Times New Roman"/>
                <w:i w:val="0"/>
                <w:sz w:val="20"/>
              </w:rPr>
              <w:t>`ST15_r5_nhanes_weighted_vs_unweighted.csv`</w:t>
            </w:r>
          </w:p>
        </w:tc>
      </w:tr>
      <w:tr>
        <w:tc>
          <w:tcPr>
            <w:tcW w:type="dxa" w:w="2160"/>
          </w:tcPr>
          <w:p>
            <w:r/>
            <w:r>
              <w:rPr>
                <w:rFonts w:ascii="Times New Roman" w:hAnsi="Times New Roman"/>
                <w:i w:val="0"/>
                <w:sz w:val="20"/>
              </w:rPr>
              <w:t>ST16</w:t>
            </w:r>
          </w:p>
        </w:tc>
        <w:tc>
          <w:tcPr>
            <w:tcW w:type="dxa" w:w="2160"/>
          </w:tcPr>
          <w:p>
            <w:r/>
            <w:r>
              <w:rPr>
                <w:rFonts w:ascii="Times New Roman" w:hAnsi="Times New Roman"/>
                <w:i w:val="0"/>
                <w:sz w:val="20"/>
              </w:rPr>
              <w:t>Age-by-index interaction</w:t>
            </w:r>
          </w:p>
        </w:tc>
        <w:tc>
          <w:tcPr>
            <w:tcW w:type="dxa" w:w="2160"/>
          </w:tcPr>
          <w:p>
            <w:r/>
            <w:r>
              <w:rPr>
                <w:rFonts w:ascii="Times New Roman" w:hAnsi="Times New Roman"/>
                <w:i w:val="0"/>
                <w:sz w:val="20"/>
              </w:rPr>
              <w:t>Weighted and unweighted age-interaction tests (weighted P = 0.394) for the haematological type-2 index.</w:t>
            </w:r>
          </w:p>
        </w:tc>
        <w:tc>
          <w:tcPr>
            <w:tcW w:type="dxa" w:w="2160"/>
          </w:tcPr>
          <w:p>
            <w:r/>
            <w:r>
              <w:rPr>
                <w:rFonts w:ascii="Times New Roman" w:hAnsi="Times New Roman"/>
                <w:i w:val="0"/>
                <w:sz w:val="20"/>
              </w:rPr>
              <w:t>`ST16_r5_age_interaction.csv`</w:t>
            </w:r>
          </w:p>
        </w:tc>
      </w:tr>
      <w:tr>
        <w:tc>
          <w:tcPr>
            <w:tcW w:type="dxa" w:w="2160"/>
          </w:tcPr>
          <w:p>
            <w:r/>
            <w:r>
              <w:rPr>
                <w:rFonts w:ascii="Times New Roman" w:hAnsi="Times New Roman"/>
                <w:i w:val="0"/>
                <w:sz w:val="20"/>
              </w:rPr>
              <w:t>ST17</w:t>
            </w:r>
          </w:p>
        </w:tc>
        <w:tc>
          <w:tcPr>
            <w:tcW w:type="dxa" w:w="2160"/>
          </w:tcPr>
          <w:p>
            <w:r/>
            <w:r>
              <w:rPr>
                <w:rFonts w:ascii="Times New Roman" w:hAnsi="Times New Roman"/>
                <w:i w:val="0"/>
                <w:sz w:val="20"/>
              </w:rPr>
              <w:t>Pooled age-interaction model</w:t>
            </w:r>
          </w:p>
        </w:tc>
        <w:tc>
          <w:tcPr>
            <w:tcW w:type="dxa" w:w="2160"/>
          </w:tcPr>
          <w:p>
            <w:r/>
            <w:r>
              <w:rPr>
                <w:rFonts w:ascii="Times New Roman" w:hAnsi="Times New Roman"/>
                <w:i w:val="0"/>
                <w:sz w:val="20"/>
              </w:rPr>
              <w:t>Pooled (D+J) age-by-index interaction model estimates (weighted and unweighted); companion to ST18. The interaction power analysis is deposited as ST17b.</w:t>
            </w:r>
          </w:p>
        </w:tc>
        <w:tc>
          <w:tcPr>
            <w:tcW w:type="dxa" w:w="2160"/>
          </w:tcPr>
          <w:p>
            <w:r/>
            <w:r>
              <w:rPr>
                <w:rFonts w:ascii="Times New Roman" w:hAnsi="Times New Roman"/>
                <w:i w:val="0"/>
                <w:sz w:val="20"/>
              </w:rPr>
              <w:t>`ST17_r5_age_interaction_results.csv`</w:t>
            </w:r>
          </w:p>
        </w:tc>
      </w:tr>
      <w:tr>
        <w:tc>
          <w:tcPr>
            <w:tcW w:type="dxa" w:w="2160"/>
          </w:tcPr>
          <w:p>
            <w:r/>
            <w:r>
              <w:rPr>
                <w:rFonts w:ascii="Times New Roman" w:hAnsi="Times New Roman"/>
                <w:i w:val="0"/>
                <w:sz w:val="20"/>
              </w:rPr>
              <w:t>ST17b</w:t>
            </w:r>
          </w:p>
        </w:tc>
        <w:tc>
          <w:tcPr>
            <w:tcW w:type="dxa" w:w="2160"/>
          </w:tcPr>
          <w:p>
            <w:r/>
            <w:r>
              <w:rPr>
                <w:rFonts w:ascii="Times New Roman" w:hAnsi="Times New Roman"/>
                <w:i w:val="0"/>
                <w:sz w:val="20"/>
              </w:rPr>
              <w:t>Interaction power analysis (companion to ST17)</w:t>
            </w:r>
          </w:p>
        </w:tc>
        <w:tc>
          <w:tcPr>
            <w:tcW w:type="dxa" w:w="2160"/>
          </w:tcPr>
          <w:p>
            <w:r/>
            <w:r>
              <w:rPr>
                <w:rFonts w:ascii="Times New Roman" w:hAnsi="Times New Roman"/>
                <w:i w:val="0"/>
                <w:sz w:val="20"/>
              </w:rPr>
              <w:t>Minimum detectable 40-year odds-ratio ratio at 80% power (two-sided alpha = 0.05), computed from the ST16 interaction standard errors: weighted 1.134, unweighted 1.100.</w:t>
            </w:r>
          </w:p>
        </w:tc>
        <w:tc>
          <w:tcPr>
            <w:tcW w:type="dxa" w:w="2160"/>
          </w:tcPr>
          <w:p>
            <w:r/>
            <w:r>
              <w:rPr>
                <w:rFonts w:ascii="Times New Roman" w:hAnsi="Times New Roman"/>
                <w:i w:val="0"/>
                <w:sz w:val="20"/>
              </w:rPr>
              <w:t>`ST17b_age_interaction_power.csv`</w:t>
            </w:r>
          </w:p>
        </w:tc>
      </w:tr>
      <w:tr>
        <w:tc>
          <w:tcPr>
            <w:tcW w:type="dxa" w:w="2160"/>
          </w:tcPr>
          <w:p>
            <w:r/>
            <w:r>
              <w:rPr>
                <w:rFonts w:ascii="Times New Roman" w:hAnsi="Times New Roman"/>
                <w:i w:val="0"/>
                <w:sz w:val="20"/>
              </w:rPr>
              <w:t>ST18</w:t>
            </w:r>
          </w:p>
        </w:tc>
        <w:tc>
          <w:tcPr>
            <w:tcW w:type="dxa" w:w="2160"/>
          </w:tcPr>
          <w:p>
            <w:r/>
            <w:r>
              <w:rPr>
                <w:rFonts w:ascii="Times New Roman" w:hAnsi="Times New Roman"/>
                <w:i w:val="0"/>
                <w:sz w:val="20"/>
              </w:rPr>
              <w:t>Age-stratified estimates</w:t>
            </w:r>
          </w:p>
        </w:tc>
        <w:tc>
          <w:tcPr>
            <w:tcW w:type="dxa" w:w="2160"/>
          </w:tcPr>
          <w:p>
            <w:r/>
            <w:r>
              <w:rPr>
                <w:rFonts w:ascii="Times New Roman" w:hAnsi="Times New Roman"/>
                <w:i w:val="0"/>
                <w:sz w:val="20"/>
              </w:rPr>
              <w:t>Index-outcome odds ratios in &lt; 40, 40-60 and &gt; 60 year age bands (weighted ORs 1.33, 1.30, 1.29).</w:t>
            </w:r>
          </w:p>
        </w:tc>
        <w:tc>
          <w:tcPr>
            <w:tcW w:type="dxa" w:w="2160"/>
          </w:tcPr>
          <w:p>
            <w:r/>
            <w:r>
              <w:rPr>
                <w:rFonts w:ascii="Times New Roman" w:hAnsi="Times New Roman"/>
                <w:i w:val="0"/>
                <w:sz w:val="20"/>
              </w:rPr>
              <w:t>`ST18_r5_age_stratified_or.csv`</w:t>
            </w:r>
          </w:p>
        </w:tc>
      </w:tr>
      <w:tr>
        <w:tc>
          <w:tcPr>
            <w:tcW w:type="dxa" w:w="2160"/>
          </w:tcPr>
          <w:p>
            <w:r/>
            <w:r>
              <w:rPr>
                <w:rFonts w:ascii="Times New Roman" w:hAnsi="Times New Roman"/>
                <w:i w:val="0"/>
                <w:sz w:val="20"/>
              </w:rPr>
              <w:t>ST19</w:t>
            </w:r>
          </w:p>
        </w:tc>
        <w:tc>
          <w:tcPr>
            <w:tcW w:type="dxa" w:w="2160"/>
          </w:tcPr>
          <w:p>
            <w:r/>
            <w:r>
              <w:rPr>
                <w:rFonts w:ascii="Times New Roman" w:hAnsi="Times New Roman"/>
                <w:i w:val="0"/>
                <w:sz w:val="20"/>
              </w:rPr>
              <w:t>IgE biomarker validation (cycle D, 2005-2006)</w:t>
            </w:r>
          </w:p>
        </w:tc>
        <w:tc>
          <w:tcPr>
            <w:tcW w:type="dxa" w:w="2160"/>
          </w:tcPr>
          <w:p>
            <w:r/>
            <w:r>
              <w:rPr>
                <w:rFonts w:ascii="Times New Roman" w:hAnsi="Times New Roman"/>
                <w:i w:val="0"/>
                <w:sz w:val="20"/>
              </w:rPr>
              <w:t>Total IgE weighted beta (0.310 log units), high IgE (OR 1.53), any specific IgE (OR 1.39) and combined IgE-plus-self-report (OR 1.36).</w:t>
            </w:r>
          </w:p>
        </w:tc>
        <w:tc>
          <w:tcPr>
            <w:tcW w:type="dxa" w:w="2160"/>
          </w:tcPr>
          <w:p>
            <w:r/>
            <w:r>
              <w:rPr>
                <w:rFonts w:ascii="Times New Roman" w:hAnsi="Times New Roman"/>
                <w:i w:val="0"/>
                <w:sz w:val="20"/>
              </w:rPr>
              <w:t>`ST19_r5_ige_validation_weighted.csv`</w:t>
            </w:r>
          </w:p>
        </w:tc>
      </w:tr>
      <w:tr>
        <w:tc>
          <w:tcPr>
            <w:tcW w:type="dxa" w:w="2160"/>
          </w:tcPr>
          <w:p>
            <w:r/>
            <w:r>
              <w:rPr>
                <w:rFonts w:ascii="Times New Roman" w:hAnsi="Times New Roman"/>
                <w:i w:val="0"/>
                <w:sz w:val="20"/>
              </w:rPr>
              <w:t>ST20</w:t>
            </w:r>
          </w:p>
        </w:tc>
        <w:tc>
          <w:tcPr>
            <w:tcW w:type="dxa" w:w="2160"/>
          </w:tcPr>
          <w:p>
            <w:r/>
            <w:r>
              <w:rPr>
                <w:rFonts w:ascii="Times New Roman" w:hAnsi="Times New Roman"/>
                <w:i w:val="0"/>
                <w:sz w:val="20"/>
              </w:rPr>
              <w:t>Threshold model and bootstrap</w:t>
            </w:r>
          </w:p>
        </w:tc>
        <w:tc>
          <w:tcPr>
            <w:tcW w:type="dxa" w:w="2160"/>
          </w:tcPr>
          <w:p>
            <w:r/>
            <w:r>
              <w:rPr>
                <w:rFonts w:ascii="Times New Roman" w:hAnsi="Times New Roman"/>
                <w:i w:val="0"/>
                <w:sz w:val="20"/>
              </w:rPr>
              <w:t>Hinge model with knot at index -1.75 and bootstrap knot distribution (n = 200 resamples; interval [-1.95, 2.0]).</w:t>
            </w:r>
          </w:p>
        </w:tc>
        <w:tc>
          <w:tcPr>
            <w:tcW w:type="dxa" w:w="2160"/>
          </w:tcPr>
          <w:p>
            <w:r/>
            <w:r>
              <w:rPr>
                <w:rFonts w:ascii="Times New Roman" w:hAnsi="Times New Roman"/>
                <w:i w:val="0"/>
                <w:sz w:val="20"/>
              </w:rPr>
              <w:t>`ST20_r5_threshold_weighted_bootstrap.csv`</w:t>
            </w:r>
          </w:p>
        </w:tc>
      </w:tr>
      <w:tr>
        <w:tc>
          <w:tcPr>
            <w:tcW w:type="dxa" w:w="2160"/>
          </w:tcPr>
          <w:p>
            <w:r/>
            <w:r>
              <w:rPr>
                <w:rFonts w:ascii="Times New Roman" w:hAnsi="Times New Roman"/>
                <w:i w:val="0"/>
                <w:sz w:val="20"/>
              </w:rPr>
              <w:t>ST21</w:t>
            </w:r>
          </w:p>
        </w:tc>
        <w:tc>
          <w:tcPr>
            <w:tcW w:type="dxa" w:w="2160"/>
          </w:tcPr>
          <w:p>
            <w:r/>
            <w:r>
              <w:rPr>
                <w:rFonts w:ascii="Times New Roman" w:hAnsi="Times New Roman"/>
                <w:i w:val="0"/>
                <w:sz w:val="20"/>
              </w:rPr>
              <w:t>Survey-weighted Cox mortality analysis</w:t>
            </w:r>
          </w:p>
        </w:tc>
        <w:tc>
          <w:tcPr>
            <w:tcW w:type="dxa" w:w="2160"/>
          </w:tcPr>
          <w:p>
            <w:r/>
            <w:r>
              <w:rPr>
                <w:rFonts w:ascii="Times New Roman" w:hAnsi="Times New Roman"/>
                <w:i w:val="0"/>
                <w:sz w:val="20"/>
              </w:rPr>
              <w:t>All-cause mortality hazard ratio (weighted HR 1.07; 54 events over mean 2.04 years; underpowered).</w:t>
            </w:r>
          </w:p>
        </w:tc>
        <w:tc>
          <w:tcPr>
            <w:tcW w:type="dxa" w:w="2160"/>
          </w:tcPr>
          <w:p>
            <w:r/>
            <w:r>
              <w:rPr>
                <w:rFonts w:ascii="Times New Roman" w:hAnsi="Times New Roman"/>
                <w:i w:val="0"/>
                <w:sz w:val="20"/>
              </w:rPr>
              <w:t>`ST21_r5_mortality_cox_weighted.csv`</w:t>
            </w:r>
          </w:p>
        </w:tc>
      </w:tr>
      <w:tr>
        <w:tc>
          <w:tcPr>
            <w:tcW w:type="dxa" w:w="2160"/>
          </w:tcPr>
          <w:p>
            <w:r/>
            <w:r>
              <w:rPr>
                <w:rFonts w:ascii="Times New Roman" w:hAnsi="Times New Roman"/>
                <w:i w:val="0"/>
                <w:sz w:val="20"/>
              </w:rPr>
              <w:t>ST22</w:t>
            </w:r>
          </w:p>
        </w:tc>
        <w:tc>
          <w:tcPr>
            <w:tcW w:type="dxa" w:w="2160"/>
          </w:tcPr>
          <w:p>
            <w:r/>
            <w:r>
              <w:rPr>
                <w:rFonts w:ascii="Times New Roman" w:hAnsi="Times New Roman"/>
                <w:i w:val="0"/>
                <w:sz w:val="20"/>
              </w:rPr>
              <w:t>5q31 locus colocalization summary</w:t>
            </w:r>
          </w:p>
        </w:tc>
        <w:tc>
          <w:tcPr>
            <w:tcW w:type="dxa" w:w="2160"/>
          </w:tcPr>
          <w:p>
            <w:r/>
            <w:r>
              <w:rPr>
                <w:rFonts w:ascii="Times New Roman" w:hAnsi="Times New Roman"/>
                <w:i w:val="0"/>
                <w:sz w:val="20"/>
              </w:rPr>
              <w:t>Posterior probabilities PP.H0-PP.H4 for IL4/IL13 cis-eQTLs (eQTLGen whole blood; DICE TREG_NAIVE and TH1) against the three allergic outcomes across chr5:131.66-133.68 Mb.</w:t>
            </w:r>
          </w:p>
        </w:tc>
        <w:tc>
          <w:tcPr>
            <w:tcW w:type="dxa" w:w="2160"/>
          </w:tcPr>
          <w:p>
            <w:r/>
            <w:r>
              <w:rPr>
                <w:rFonts w:ascii="Times New Roman" w:hAnsi="Times New Roman"/>
                <w:i w:val="0"/>
                <w:sz w:val="20"/>
              </w:rPr>
              <w:t>`ST22_r5_il4_locus_coloc.csv`</w:t>
            </w:r>
          </w:p>
        </w:tc>
      </w:tr>
      <w:tr>
        <w:tc>
          <w:tcPr>
            <w:tcW w:type="dxa" w:w="2160"/>
          </w:tcPr>
          <w:p>
            <w:r/>
            <w:r>
              <w:rPr>
                <w:rFonts w:ascii="Times New Roman" w:hAnsi="Times New Roman"/>
                <w:i w:val="0"/>
                <w:sz w:val="20"/>
              </w:rPr>
              <w:t>ST23</w:t>
            </w:r>
          </w:p>
        </w:tc>
        <w:tc>
          <w:tcPr>
            <w:tcW w:type="dxa" w:w="2160"/>
          </w:tcPr>
          <w:p>
            <w:r/>
            <w:r>
              <w:rPr>
                <w:rFonts w:ascii="Times New Roman" w:hAnsi="Times New Roman"/>
                <w:i w:val="0"/>
                <w:sz w:val="20"/>
              </w:rPr>
              <w:t>Per-SNP colocalization: whole-blood IL4 vs asthma</w:t>
            </w:r>
          </w:p>
        </w:tc>
        <w:tc>
          <w:tcPr>
            <w:tcW w:type="dxa" w:w="2160"/>
          </w:tcPr>
          <w:p>
            <w:r/>
            <w:r>
              <w:rPr>
                <w:rFonts w:ascii="Times New Roman" w:hAnsi="Times New Roman"/>
                <w:i w:val="0"/>
                <w:sz w:val="20"/>
              </w:rPr>
              <w:t>Per-SNP posterior contributions for the eQTLGen IL4 vs asthma colocalization.</w:t>
            </w:r>
          </w:p>
        </w:tc>
        <w:tc>
          <w:tcPr>
            <w:tcW w:type="dxa" w:w="2160"/>
          </w:tcPr>
          <w:p>
            <w:r/>
            <w:r>
              <w:rPr>
                <w:rFonts w:ascii="Times New Roman" w:hAnsi="Times New Roman"/>
                <w:i w:val="0"/>
                <w:sz w:val="20"/>
              </w:rPr>
              <w:t>`ST23_r5_il4_locus_coloc_IL4_eQTLGen_ALLERG_ASTHMA_persnp.csv`</w:t>
            </w:r>
          </w:p>
        </w:tc>
      </w:tr>
      <w:tr>
        <w:tc>
          <w:tcPr>
            <w:tcW w:type="dxa" w:w="2160"/>
          </w:tcPr>
          <w:p>
            <w:r/>
            <w:r>
              <w:rPr>
                <w:rFonts w:ascii="Times New Roman" w:hAnsi="Times New Roman"/>
                <w:i w:val="0"/>
                <w:sz w:val="20"/>
              </w:rPr>
              <w:t>ST24</w:t>
            </w:r>
          </w:p>
        </w:tc>
        <w:tc>
          <w:tcPr>
            <w:tcW w:type="dxa" w:w="2160"/>
          </w:tcPr>
          <w:p>
            <w:r/>
            <w:r>
              <w:rPr>
                <w:rFonts w:ascii="Times New Roman" w:hAnsi="Times New Roman"/>
                <w:i w:val="0"/>
                <w:sz w:val="20"/>
              </w:rPr>
              <w:t>Per-SNP colocalization: whole-blood IL4 vs rhinitis</w:t>
            </w:r>
          </w:p>
        </w:tc>
        <w:tc>
          <w:tcPr>
            <w:tcW w:type="dxa" w:w="2160"/>
          </w:tcPr>
          <w:p>
            <w:r/>
            <w:r>
              <w:rPr>
                <w:rFonts w:ascii="Times New Roman" w:hAnsi="Times New Roman"/>
                <w:i w:val="0"/>
                <w:sz w:val="20"/>
              </w:rPr>
              <w:t>Per-SNP posterior contributions for the eQTLGen IL4 vs allergic rhinitis colocalization.</w:t>
            </w:r>
          </w:p>
        </w:tc>
        <w:tc>
          <w:tcPr>
            <w:tcW w:type="dxa" w:w="2160"/>
          </w:tcPr>
          <w:p>
            <w:r/>
            <w:r>
              <w:rPr>
                <w:rFonts w:ascii="Times New Roman" w:hAnsi="Times New Roman"/>
                <w:i w:val="0"/>
                <w:sz w:val="20"/>
              </w:rPr>
              <w:t>`ST24_r5_il4_locus_coloc_IL4_eQTLGen_ALLERG_RHINITIS_persnp.csv`</w:t>
            </w:r>
          </w:p>
        </w:tc>
      </w:tr>
      <w:tr>
        <w:tc>
          <w:tcPr>
            <w:tcW w:type="dxa" w:w="2160"/>
          </w:tcPr>
          <w:p>
            <w:r/>
            <w:r>
              <w:rPr>
                <w:rFonts w:ascii="Times New Roman" w:hAnsi="Times New Roman"/>
                <w:i w:val="0"/>
                <w:sz w:val="20"/>
              </w:rPr>
              <w:t>ST25</w:t>
            </w:r>
          </w:p>
        </w:tc>
        <w:tc>
          <w:tcPr>
            <w:tcW w:type="dxa" w:w="2160"/>
          </w:tcPr>
          <w:p>
            <w:r/>
            <w:r>
              <w:rPr>
                <w:rFonts w:ascii="Times New Roman" w:hAnsi="Times New Roman"/>
                <w:i w:val="0"/>
                <w:sz w:val="20"/>
              </w:rPr>
              <w:t>Per-SNP colocalization: whole-blood IL4 vs atopic dermatitis</w:t>
            </w:r>
          </w:p>
        </w:tc>
        <w:tc>
          <w:tcPr>
            <w:tcW w:type="dxa" w:w="2160"/>
          </w:tcPr>
          <w:p>
            <w:r/>
            <w:r>
              <w:rPr>
                <w:rFonts w:ascii="Times New Roman" w:hAnsi="Times New Roman"/>
                <w:i w:val="0"/>
                <w:sz w:val="20"/>
              </w:rPr>
              <w:t>Per-SNP posterior contributions for the eQTLGen IL4 vs atopic dermatitis colocalization.</w:t>
            </w:r>
          </w:p>
        </w:tc>
        <w:tc>
          <w:tcPr>
            <w:tcW w:type="dxa" w:w="2160"/>
          </w:tcPr>
          <w:p>
            <w:r/>
            <w:r>
              <w:rPr>
                <w:rFonts w:ascii="Times New Roman" w:hAnsi="Times New Roman"/>
                <w:i w:val="0"/>
                <w:sz w:val="20"/>
              </w:rPr>
              <w:t>`ST25_r5_il4_locus_coloc_IL4_eQTLGen_L12_ATOPIC_persnp.csv`</w:t>
            </w:r>
          </w:p>
        </w:tc>
      </w:tr>
      <w:tr>
        <w:tc>
          <w:tcPr>
            <w:tcW w:type="dxa" w:w="2160"/>
          </w:tcPr>
          <w:p>
            <w:r/>
            <w:r>
              <w:rPr>
                <w:rFonts w:ascii="Times New Roman" w:hAnsi="Times New Roman"/>
                <w:i w:val="0"/>
                <w:sz w:val="20"/>
              </w:rPr>
              <w:t>ST26</w:t>
            </w:r>
          </w:p>
        </w:tc>
        <w:tc>
          <w:tcPr>
            <w:tcW w:type="dxa" w:w="2160"/>
          </w:tcPr>
          <w:p>
            <w:r/>
            <w:r>
              <w:rPr>
                <w:rFonts w:ascii="Times New Roman" w:hAnsi="Times New Roman"/>
                <w:i w:val="0"/>
                <w:sz w:val="20"/>
              </w:rPr>
              <w:t>Per-SNP colocalization: TREG-naive IL4 vs asthma</w:t>
            </w:r>
          </w:p>
        </w:tc>
        <w:tc>
          <w:tcPr>
            <w:tcW w:type="dxa" w:w="2160"/>
          </w:tcPr>
          <w:p>
            <w:r/>
            <w:r>
              <w:rPr>
                <w:rFonts w:ascii="Times New Roman" w:hAnsi="Times New Roman"/>
                <w:i w:val="0"/>
                <w:sz w:val="20"/>
              </w:rPr>
              <w:t>Per-SNP posterior contributions for the DICE naive regulatory T-cell IL4 vs asthma colocalization (PP.H4 = 0.79).</w:t>
            </w:r>
          </w:p>
        </w:tc>
        <w:tc>
          <w:tcPr>
            <w:tcW w:type="dxa" w:w="2160"/>
          </w:tcPr>
          <w:p>
            <w:r/>
            <w:r>
              <w:rPr>
                <w:rFonts w:ascii="Times New Roman" w:hAnsi="Times New Roman"/>
                <w:i w:val="0"/>
                <w:sz w:val="20"/>
              </w:rPr>
              <w:t>`ST26_r5_il4_locus_coloc_IL4_DICE_TREG_NAIVE_ALLERG_ASTHMA_persnp.csv`</w:t>
            </w:r>
          </w:p>
        </w:tc>
      </w:tr>
      <w:tr>
        <w:tc>
          <w:tcPr>
            <w:tcW w:type="dxa" w:w="2160"/>
          </w:tcPr>
          <w:p>
            <w:r/>
            <w:r>
              <w:rPr>
                <w:rFonts w:ascii="Times New Roman" w:hAnsi="Times New Roman"/>
                <w:i w:val="0"/>
                <w:sz w:val="20"/>
              </w:rPr>
              <w:t>ST27</w:t>
            </w:r>
          </w:p>
        </w:tc>
        <w:tc>
          <w:tcPr>
            <w:tcW w:type="dxa" w:w="2160"/>
          </w:tcPr>
          <w:p>
            <w:r/>
            <w:r>
              <w:rPr>
                <w:rFonts w:ascii="Times New Roman" w:hAnsi="Times New Roman"/>
                <w:i w:val="0"/>
                <w:sz w:val="20"/>
              </w:rPr>
              <w:t>Per-SNP colocalization: TREG-naive IL4 vs rhinitis</w:t>
            </w:r>
          </w:p>
        </w:tc>
        <w:tc>
          <w:tcPr>
            <w:tcW w:type="dxa" w:w="2160"/>
          </w:tcPr>
          <w:p>
            <w:r/>
            <w:r>
              <w:rPr>
                <w:rFonts w:ascii="Times New Roman" w:hAnsi="Times New Roman"/>
                <w:i w:val="0"/>
                <w:sz w:val="20"/>
              </w:rPr>
              <w:t>Per-SNP posterior contributions for the DICE naive regulatory T-cell IL4 vs rhinitis colocalization (PP.H4 = 0.79).</w:t>
            </w:r>
          </w:p>
        </w:tc>
        <w:tc>
          <w:tcPr>
            <w:tcW w:type="dxa" w:w="2160"/>
          </w:tcPr>
          <w:p>
            <w:r/>
            <w:r>
              <w:rPr>
                <w:rFonts w:ascii="Times New Roman" w:hAnsi="Times New Roman"/>
                <w:i w:val="0"/>
                <w:sz w:val="20"/>
              </w:rPr>
              <w:t>`ST27_r5_il4_locus_coloc_IL4_DICE_TREG_NAIVE_ALLERG_RHINITIS_persnp.csv`</w:t>
            </w:r>
          </w:p>
        </w:tc>
      </w:tr>
      <w:tr>
        <w:tc>
          <w:tcPr>
            <w:tcW w:type="dxa" w:w="2160"/>
          </w:tcPr>
          <w:p>
            <w:r/>
            <w:r>
              <w:rPr>
                <w:rFonts w:ascii="Times New Roman" w:hAnsi="Times New Roman"/>
                <w:i w:val="0"/>
                <w:sz w:val="20"/>
              </w:rPr>
              <w:t>ST28</w:t>
            </w:r>
          </w:p>
        </w:tc>
        <w:tc>
          <w:tcPr>
            <w:tcW w:type="dxa" w:w="2160"/>
          </w:tcPr>
          <w:p>
            <w:r/>
            <w:r>
              <w:rPr>
                <w:rFonts w:ascii="Times New Roman" w:hAnsi="Times New Roman"/>
                <w:i w:val="0"/>
                <w:sz w:val="20"/>
              </w:rPr>
              <w:t>Per-SNP colocalization: TREG-naive IL4 vs atopic dermatitis</w:t>
            </w:r>
          </w:p>
        </w:tc>
        <w:tc>
          <w:tcPr>
            <w:tcW w:type="dxa" w:w="2160"/>
          </w:tcPr>
          <w:p>
            <w:r/>
            <w:r>
              <w:rPr>
                <w:rFonts w:ascii="Times New Roman" w:hAnsi="Times New Roman"/>
                <w:i w:val="0"/>
                <w:sz w:val="20"/>
              </w:rPr>
              <w:t>Per-SNP posterior contributions for the DICE naive regulatory T-cell IL4 vs atopic dermatitis colocalization (PP.H4 = 0.92).</w:t>
            </w:r>
          </w:p>
        </w:tc>
        <w:tc>
          <w:tcPr>
            <w:tcW w:type="dxa" w:w="2160"/>
          </w:tcPr>
          <w:p>
            <w:r/>
            <w:r>
              <w:rPr>
                <w:rFonts w:ascii="Times New Roman" w:hAnsi="Times New Roman"/>
                <w:i w:val="0"/>
                <w:sz w:val="20"/>
              </w:rPr>
              <w:t>`ST28_r5_il4_locus_coloc_IL4_DICE_TREG_NAIVE_L12_ATOPIC_persnp.csv`</w:t>
            </w:r>
          </w:p>
        </w:tc>
      </w:tr>
      <w:tr>
        <w:tc>
          <w:tcPr>
            <w:tcW w:type="dxa" w:w="2160"/>
          </w:tcPr>
          <w:p>
            <w:r/>
            <w:r>
              <w:rPr>
                <w:rFonts w:ascii="Times New Roman" w:hAnsi="Times New Roman"/>
                <w:i w:val="0"/>
                <w:sz w:val="20"/>
              </w:rPr>
              <w:t>ST29</w:t>
            </w:r>
          </w:p>
        </w:tc>
        <w:tc>
          <w:tcPr>
            <w:tcW w:type="dxa" w:w="2160"/>
          </w:tcPr>
          <w:p>
            <w:r/>
            <w:r>
              <w:rPr>
                <w:rFonts w:ascii="Times New Roman" w:hAnsi="Times New Roman"/>
                <w:i w:val="0"/>
                <w:sz w:val="20"/>
              </w:rPr>
              <w:t>Per-SNP colocalization: TH1 IL13 vs asthma</w:t>
            </w:r>
          </w:p>
        </w:tc>
        <w:tc>
          <w:tcPr>
            <w:tcW w:type="dxa" w:w="2160"/>
          </w:tcPr>
          <w:p>
            <w:r/>
            <w:r>
              <w:rPr>
                <w:rFonts w:ascii="Times New Roman" w:hAnsi="Times New Roman"/>
                <w:i w:val="0"/>
                <w:sz w:val="20"/>
              </w:rPr>
              <w:t>Per-SNP posterior contributions for the DICE TH1-cell IL13 vs asthma colocalization (underpowered; 6 SNPs).</w:t>
            </w:r>
          </w:p>
        </w:tc>
        <w:tc>
          <w:tcPr>
            <w:tcW w:type="dxa" w:w="2160"/>
          </w:tcPr>
          <w:p>
            <w:r/>
            <w:r>
              <w:rPr>
                <w:rFonts w:ascii="Times New Roman" w:hAnsi="Times New Roman"/>
                <w:i w:val="0"/>
                <w:sz w:val="20"/>
              </w:rPr>
              <w:t>`ST29_r5_il4_locus_coloc_IL13_DICE_TH1_ALLERG_ASTHMA_persnp.csv`</w:t>
            </w:r>
          </w:p>
        </w:tc>
      </w:tr>
      <w:tr>
        <w:tc>
          <w:tcPr>
            <w:tcW w:type="dxa" w:w="2160"/>
          </w:tcPr>
          <w:p>
            <w:r/>
            <w:r>
              <w:rPr>
                <w:rFonts w:ascii="Times New Roman" w:hAnsi="Times New Roman"/>
                <w:i w:val="0"/>
                <w:sz w:val="20"/>
              </w:rPr>
              <w:t>ST30</w:t>
            </w:r>
          </w:p>
        </w:tc>
        <w:tc>
          <w:tcPr>
            <w:tcW w:type="dxa" w:w="2160"/>
          </w:tcPr>
          <w:p>
            <w:r/>
            <w:r>
              <w:rPr>
                <w:rFonts w:ascii="Times New Roman" w:hAnsi="Times New Roman"/>
                <w:i w:val="0"/>
                <w:sz w:val="20"/>
              </w:rPr>
              <w:t>Per-SNP colocalization: TH1 IL13 vs rhinitis</w:t>
            </w:r>
          </w:p>
        </w:tc>
        <w:tc>
          <w:tcPr>
            <w:tcW w:type="dxa" w:w="2160"/>
          </w:tcPr>
          <w:p>
            <w:r/>
            <w:r>
              <w:rPr>
                <w:rFonts w:ascii="Times New Roman" w:hAnsi="Times New Roman"/>
                <w:i w:val="0"/>
                <w:sz w:val="20"/>
              </w:rPr>
              <w:t>Per-SNP posterior contributions for the DICE TH1-cell IL13 vs rhinitis colocalization (underpowered; 6 SNPs).</w:t>
            </w:r>
          </w:p>
        </w:tc>
        <w:tc>
          <w:tcPr>
            <w:tcW w:type="dxa" w:w="2160"/>
          </w:tcPr>
          <w:p>
            <w:r/>
            <w:r>
              <w:rPr>
                <w:rFonts w:ascii="Times New Roman" w:hAnsi="Times New Roman"/>
                <w:i w:val="0"/>
                <w:sz w:val="20"/>
              </w:rPr>
              <w:t>`ST30_r5_il4_locus_coloc_IL13_DICE_TH1_ALLERG_RHINITIS_persnp.csv`</w:t>
            </w:r>
          </w:p>
        </w:tc>
      </w:tr>
      <w:tr>
        <w:tc>
          <w:tcPr>
            <w:tcW w:type="dxa" w:w="2160"/>
          </w:tcPr>
          <w:p>
            <w:r/>
            <w:r>
              <w:rPr>
                <w:rFonts w:ascii="Times New Roman" w:hAnsi="Times New Roman"/>
                <w:i w:val="0"/>
                <w:sz w:val="20"/>
              </w:rPr>
              <w:t>ST31</w:t>
            </w:r>
          </w:p>
        </w:tc>
        <w:tc>
          <w:tcPr>
            <w:tcW w:type="dxa" w:w="2160"/>
          </w:tcPr>
          <w:p>
            <w:r/>
            <w:r>
              <w:rPr>
                <w:rFonts w:ascii="Times New Roman" w:hAnsi="Times New Roman"/>
                <w:i w:val="0"/>
                <w:sz w:val="20"/>
              </w:rPr>
              <w:t>Per-SNP colocalization: TH1 IL13 vs atopic dermatitis</w:t>
            </w:r>
          </w:p>
        </w:tc>
        <w:tc>
          <w:tcPr>
            <w:tcW w:type="dxa" w:w="2160"/>
          </w:tcPr>
          <w:p>
            <w:r/>
            <w:r>
              <w:rPr>
                <w:rFonts w:ascii="Times New Roman" w:hAnsi="Times New Roman"/>
                <w:i w:val="0"/>
                <w:sz w:val="20"/>
              </w:rPr>
              <w:t>Per-SNP posterior contributions for the DICE TH1-cell IL13 vs atopic dermatitis colocalization (underpowered; 6 SNPs).</w:t>
            </w:r>
          </w:p>
        </w:tc>
        <w:tc>
          <w:tcPr>
            <w:tcW w:type="dxa" w:w="2160"/>
          </w:tcPr>
          <w:p>
            <w:r/>
            <w:r>
              <w:rPr>
                <w:rFonts w:ascii="Times New Roman" w:hAnsi="Times New Roman"/>
                <w:i w:val="0"/>
                <w:sz w:val="20"/>
              </w:rPr>
              <w:t>`ST31_r5_il4_locus_coloc_IL13_DICE_TH1_L12_ATOPIC_persnp.csv`</w:t>
            </w:r>
          </w:p>
        </w:tc>
      </w:tr>
      <w:tr>
        <w:tc>
          <w:tcPr>
            <w:tcW w:type="dxa" w:w="2160"/>
          </w:tcPr>
          <w:p>
            <w:r/>
            <w:r>
              <w:rPr>
                <w:rFonts w:ascii="Times New Roman" w:hAnsi="Times New Roman"/>
                <w:i w:val="0"/>
                <w:sz w:val="20"/>
              </w:rPr>
              <w:t>ST32</w:t>
            </w:r>
          </w:p>
        </w:tc>
        <w:tc>
          <w:tcPr>
            <w:tcW w:type="dxa" w:w="2160"/>
          </w:tcPr>
          <w:p>
            <w:r/>
            <w:r>
              <w:rPr>
                <w:rFonts w:ascii="Times New Roman" w:hAnsi="Times New Roman"/>
                <w:i w:val="0"/>
                <w:sz w:val="20"/>
              </w:rPr>
              <w:t>IL4/IL13 allelic direction analysis</w:t>
            </w:r>
          </w:p>
        </w:tc>
        <w:tc>
          <w:tcPr>
            <w:tcW w:type="dxa" w:w="2160"/>
          </w:tcPr>
          <w:p>
            <w:r/>
            <w:r>
              <w:rPr>
                <w:rFonts w:ascii="Times New Roman" w:hAnsi="Times New Roman"/>
                <w:i w:val="0"/>
                <w:sz w:val="20"/>
              </w:rPr>
              <w:t>Wald-ratio directions of lead SNPs (rs2070874 for IL4, rs78330488 for IL13) across the three outcomes.</w:t>
            </w:r>
          </w:p>
        </w:tc>
        <w:tc>
          <w:tcPr>
            <w:tcW w:type="dxa" w:w="2160"/>
          </w:tcPr>
          <w:p>
            <w:r/>
            <w:r>
              <w:rPr>
                <w:rFonts w:ascii="Times New Roman" w:hAnsi="Times New Roman"/>
                <w:i w:val="0"/>
                <w:sz w:val="20"/>
              </w:rPr>
              <w:t>`ST32_r5_il4_il13_direction.csv`</w:t>
            </w:r>
          </w:p>
        </w:tc>
      </w:tr>
      <w:tr>
        <w:tc>
          <w:tcPr>
            <w:tcW w:type="dxa" w:w="2160"/>
          </w:tcPr>
          <w:p>
            <w:r/>
            <w:r>
              <w:rPr>
                <w:rFonts w:ascii="Times New Roman" w:hAnsi="Times New Roman"/>
                <w:i w:val="0"/>
                <w:sz w:val="20"/>
              </w:rPr>
              <w:t>ST33</w:t>
            </w:r>
          </w:p>
        </w:tc>
        <w:tc>
          <w:tcPr>
            <w:tcW w:type="dxa" w:w="2160"/>
          </w:tcPr>
          <w:p>
            <w:r/>
            <w:r>
              <w:rPr>
                <w:rFonts w:ascii="Times New Roman" w:hAnsi="Times New Roman"/>
                <w:i w:val="0"/>
                <w:sz w:val="20"/>
              </w:rPr>
              <w:t>IL4/IL13 cell-type eQTL instruments</w:t>
            </w:r>
          </w:p>
        </w:tc>
        <w:tc>
          <w:tcPr>
            <w:tcW w:type="dxa" w:w="2160"/>
          </w:tcPr>
          <w:p>
            <w:r/>
            <w:r>
              <w:rPr>
                <w:rFonts w:ascii="Times New Roman" w:hAnsi="Times New Roman"/>
                <w:i w:val="0"/>
                <w:sz w:val="20"/>
              </w:rPr>
              <w:t>Per-cell-type cis-eQTL instrument statistics for IL4 and IL13 across 13 DICE immune cell types.</w:t>
            </w:r>
          </w:p>
        </w:tc>
        <w:tc>
          <w:tcPr>
            <w:tcW w:type="dxa" w:w="2160"/>
          </w:tcPr>
          <w:p>
            <w:r/>
            <w:r>
              <w:rPr>
                <w:rFonts w:ascii="Times New Roman" w:hAnsi="Times New Roman"/>
                <w:i w:val="0"/>
                <w:sz w:val="20"/>
              </w:rPr>
              <w:t>`ST33_r5_il4_celltype_eqtl.csv`</w:t>
            </w:r>
          </w:p>
        </w:tc>
      </w:tr>
      <w:tr>
        <w:tc>
          <w:tcPr>
            <w:tcW w:type="dxa" w:w="2160"/>
          </w:tcPr>
          <w:p>
            <w:r/>
            <w:r>
              <w:rPr>
                <w:rFonts w:ascii="Times New Roman" w:hAnsi="Times New Roman"/>
                <w:i w:val="0"/>
                <w:sz w:val="20"/>
              </w:rPr>
              <w:t>ST34</w:t>
            </w:r>
          </w:p>
        </w:tc>
        <w:tc>
          <w:tcPr>
            <w:tcW w:type="dxa" w:w="2160"/>
          </w:tcPr>
          <w:p>
            <w:r/>
            <w:r>
              <w:rPr>
                <w:rFonts w:ascii="Times New Roman" w:hAnsi="Times New Roman"/>
                <w:i w:val="0"/>
                <w:sz w:val="20"/>
              </w:rPr>
              <w:t>Cell-type MR matrix</w:t>
            </w:r>
          </w:p>
        </w:tc>
        <w:tc>
          <w:tcPr>
            <w:tcW w:type="dxa" w:w="2160"/>
          </w:tcPr>
          <w:p>
            <w:r/>
            <w:r>
              <w:rPr>
                <w:rFonts w:ascii="Times New Roman" w:hAnsi="Times New Roman"/>
                <w:i w:val="0"/>
                <w:sz w:val="20"/>
              </w:rPr>
              <w:t>97 gene-cell-type-outcome MR tests with adequate power (F &gt; 10); 33 pairs significant at FDR &lt; 0.05.</w:t>
            </w:r>
          </w:p>
        </w:tc>
        <w:tc>
          <w:tcPr>
            <w:tcW w:type="dxa" w:w="2160"/>
          </w:tcPr>
          <w:p>
            <w:r/>
            <w:r>
              <w:rPr>
                <w:rFonts w:ascii="Times New Roman" w:hAnsi="Times New Roman"/>
                <w:i w:val="0"/>
                <w:sz w:val="20"/>
              </w:rPr>
              <w:t>`ST34_r5_celltype_mr_matrix.csv`</w:t>
            </w:r>
          </w:p>
        </w:tc>
      </w:tr>
      <w:tr>
        <w:tc>
          <w:tcPr>
            <w:tcW w:type="dxa" w:w="2160"/>
          </w:tcPr>
          <w:p>
            <w:r/>
            <w:r>
              <w:rPr>
                <w:rFonts w:ascii="Times New Roman" w:hAnsi="Times New Roman"/>
                <w:i w:val="0"/>
                <w:sz w:val="20"/>
              </w:rPr>
              <w:t>ST35</w:t>
            </w:r>
          </w:p>
        </w:tc>
        <w:tc>
          <w:tcPr>
            <w:tcW w:type="dxa" w:w="2160"/>
          </w:tcPr>
          <w:p>
            <w:r/>
            <w:r>
              <w:rPr>
                <w:rFonts w:ascii="Times New Roman" w:hAnsi="Times New Roman"/>
                <w:i w:val="0"/>
                <w:sz w:val="20"/>
              </w:rPr>
              <w:t>Cell-type MR replication</w:t>
            </w:r>
          </w:p>
        </w:tc>
        <w:tc>
          <w:tcPr>
            <w:tcW w:type="dxa" w:w="2160"/>
          </w:tcPr>
          <w:p>
            <w:r/>
            <w:r>
              <w:rPr>
                <w:rFonts w:ascii="Times New Roman" w:hAnsi="Times New Roman"/>
                <w:i w:val="0"/>
                <w:sz w:val="20"/>
              </w:rPr>
              <w:t>Replication of headline cell-type MR pairs in independent eQTL resources.</w:t>
            </w:r>
          </w:p>
        </w:tc>
        <w:tc>
          <w:tcPr>
            <w:tcW w:type="dxa" w:w="2160"/>
          </w:tcPr>
          <w:p>
            <w:r/>
            <w:r>
              <w:rPr>
                <w:rFonts w:ascii="Times New Roman" w:hAnsi="Times New Roman"/>
                <w:i w:val="0"/>
                <w:sz w:val="20"/>
              </w:rPr>
              <w:t>`ST35_r5_celltype_replication.csv`</w:t>
            </w:r>
          </w:p>
        </w:tc>
      </w:tr>
      <w:tr>
        <w:tc>
          <w:tcPr>
            <w:tcW w:type="dxa" w:w="2160"/>
          </w:tcPr>
          <w:p>
            <w:r/>
            <w:r>
              <w:rPr>
                <w:rFonts w:ascii="Times New Roman" w:hAnsi="Times New Roman"/>
                <w:i w:val="0"/>
                <w:sz w:val="20"/>
              </w:rPr>
              <w:t>ST36</w:t>
            </w:r>
          </w:p>
        </w:tc>
        <w:tc>
          <w:tcPr>
            <w:tcW w:type="dxa" w:w="2160"/>
          </w:tcPr>
          <w:p>
            <w:r/>
            <w:r>
              <w:rPr>
                <w:rFonts w:ascii="Times New Roman" w:hAnsi="Times New Roman"/>
                <w:i w:val="0"/>
                <w:sz w:val="20"/>
              </w:rPr>
              <w:t>EWAS convergence summary</w:t>
            </w:r>
          </w:p>
        </w:tc>
        <w:tc>
          <w:tcPr>
            <w:tcW w:type="dxa" w:w="2160"/>
          </w:tcPr>
          <w:p>
            <w:r/>
            <w:r>
              <w:rPr>
                <w:rFonts w:ascii="Times New Roman" w:hAnsi="Times New Roman"/>
                <w:i w:val="0"/>
                <w:sz w:val="20"/>
              </w:rPr>
              <w:t>Observed versus expected ageing-allergy CpG overlap genome-wide and in blood (permutation tests).</w:t>
            </w:r>
          </w:p>
        </w:tc>
        <w:tc>
          <w:tcPr>
            <w:tcW w:type="dxa" w:w="2160"/>
          </w:tcPr>
          <w:p>
            <w:r/>
            <w:r>
              <w:rPr>
                <w:rFonts w:ascii="Times New Roman" w:hAnsi="Times New Roman"/>
                <w:i w:val="0"/>
                <w:sz w:val="20"/>
              </w:rPr>
              <w:t>`ST36_r5_ewas_convergence.csv`</w:t>
            </w:r>
          </w:p>
        </w:tc>
      </w:tr>
      <w:tr>
        <w:tc>
          <w:tcPr>
            <w:tcW w:type="dxa" w:w="2160"/>
          </w:tcPr>
          <w:p>
            <w:r/>
            <w:r>
              <w:rPr>
                <w:rFonts w:ascii="Times New Roman" w:hAnsi="Times New Roman"/>
                <w:i w:val="0"/>
                <w:sz w:val="20"/>
              </w:rPr>
              <w:t>ST37</w:t>
            </w:r>
          </w:p>
        </w:tc>
        <w:tc>
          <w:tcPr>
            <w:tcW w:type="dxa" w:w="2160"/>
          </w:tcPr>
          <w:p>
            <w:r/>
            <w:r>
              <w:rPr>
                <w:rFonts w:ascii="Times New Roman" w:hAnsi="Times New Roman"/>
                <w:i w:val="0"/>
                <w:sz w:val="20"/>
              </w:rPr>
              <w:t>EWAS overlap enrichment statistics</w:t>
            </w:r>
          </w:p>
        </w:tc>
        <w:tc>
          <w:tcPr>
            <w:tcW w:type="dxa" w:w="2160"/>
          </w:tcPr>
          <w:p>
            <w:r/>
            <w:r>
              <w:rPr>
                <w:rFonts w:ascii="Times New Roman" w:hAnsi="Times New Roman"/>
                <w:i w:val="0"/>
                <w:sz w:val="20"/>
              </w:rPr>
              <w:t>Blood-stratified Fisher enrichment (OR 1.71, P = 3.3e-8) and tissue-level anti-enrichment.</w:t>
            </w:r>
          </w:p>
        </w:tc>
        <w:tc>
          <w:tcPr>
            <w:tcW w:type="dxa" w:w="2160"/>
          </w:tcPr>
          <w:p>
            <w:r/>
            <w:r>
              <w:rPr>
                <w:rFonts w:ascii="Times New Roman" w:hAnsi="Times New Roman"/>
                <w:i w:val="0"/>
                <w:sz w:val="20"/>
              </w:rPr>
              <w:t>`ST37_r5_ewas_overlap_enrichment.csv`</w:t>
            </w:r>
          </w:p>
        </w:tc>
      </w:tr>
      <w:tr>
        <w:tc>
          <w:tcPr>
            <w:tcW w:type="dxa" w:w="2160"/>
          </w:tcPr>
          <w:p>
            <w:r/>
            <w:r>
              <w:rPr>
                <w:rFonts w:ascii="Times New Roman" w:hAnsi="Times New Roman"/>
                <w:i w:val="0"/>
                <w:sz w:val="20"/>
              </w:rPr>
              <w:t>ST38</w:t>
            </w:r>
          </w:p>
        </w:tc>
        <w:tc>
          <w:tcPr>
            <w:tcW w:type="dxa" w:w="2160"/>
          </w:tcPr>
          <w:p>
            <w:r/>
            <w:r>
              <w:rPr>
                <w:rFonts w:ascii="Times New Roman" w:hAnsi="Times New Roman"/>
                <w:i w:val="0"/>
                <w:sz w:val="20"/>
              </w:rPr>
              <w:t>Ageing-allergy overlapping genes</w:t>
            </w:r>
          </w:p>
        </w:tc>
        <w:tc>
          <w:tcPr>
            <w:tcW w:type="dxa" w:w="2160"/>
          </w:tcPr>
          <w:p>
            <w:r/>
            <w:r>
              <w:rPr>
                <w:rFonts w:ascii="Times New Roman" w:hAnsi="Times New Roman"/>
                <w:i w:val="0"/>
                <w:sz w:val="20"/>
              </w:rPr>
              <w:t>Gene-level mapping of the blood-restricted CpG overlap (IL1RL1, IL4, IL5RA; type-2 pathway OR 55.4).</w:t>
            </w:r>
          </w:p>
        </w:tc>
        <w:tc>
          <w:tcPr>
            <w:tcW w:type="dxa" w:w="2160"/>
          </w:tcPr>
          <w:p>
            <w:r/>
            <w:r>
              <w:rPr>
                <w:rFonts w:ascii="Times New Roman" w:hAnsi="Times New Roman"/>
                <w:i w:val="0"/>
                <w:sz w:val="20"/>
              </w:rPr>
              <w:t>`ST38_r5_ewas_overlap_genes.csv`</w:t>
            </w:r>
          </w:p>
        </w:tc>
      </w:tr>
      <w:tr>
        <w:tc>
          <w:tcPr>
            <w:tcW w:type="dxa" w:w="2160"/>
          </w:tcPr>
          <w:p>
            <w:r/>
            <w:r>
              <w:rPr>
                <w:rFonts w:ascii="Times New Roman" w:hAnsi="Times New Roman"/>
                <w:i w:val="0"/>
                <w:sz w:val="20"/>
              </w:rPr>
              <w:t>ST39</w:t>
            </w:r>
          </w:p>
        </w:tc>
        <w:tc>
          <w:tcPr>
            <w:tcW w:type="dxa" w:w="2160"/>
          </w:tcPr>
          <w:p>
            <w:r/>
            <w:r>
              <w:rPr>
                <w:rFonts w:ascii="Times New Roman" w:hAnsi="Times New Roman"/>
                <w:i w:val="0"/>
                <w:sz w:val="20"/>
              </w:rPr>
              <w:t>EWAS source-study classification</w:t>
            </w:r>
          </w:p>
        </w:tc>
        <w:tc>
          <w:tcPr>
            <w:tcW w:type="dxa" w:w="2160"/>
          </w:tcPr>
          <w:p>
            <w:r/>
            <w:r>
              <w:rPr>
                <w:rFonts w:ascii="Times New Roman" w:hAnsi="Times New Roman"/>
                <w:i w:val="0"/>
                <w:sz w:val="20"/>
              </w:rPr>
              <w:t>Source epigenome-wide association studies with tissue and trait labels used for the overlap analysis.</w:t>
            </w:r>
          </w:p>
        </w:tc>
        <w:tc>
          <w:tcPr>
            <w:tcW w:type="dxa" w:w="2160"/>
          </w:tcPr>
          <w:p>
            <w:r/>
            <w:r>
              <w:rPr>
                <w:rFonts w:ascii="Times New Roman" w:hAnsi="Times New Roman"/>
                <w:i w:val="0"/>
                <w:sz w:val="20"/>
              </w:rPr>
              <w:t>`ST39_r5_ewas_study_classification.csv`</w:t>
            </w:r>
          </w:p>
        </w:tc>
      </w:tr>
      <w:tr>
        <w:tc>
          <w:tcPr>
            <w:tcW w:type="dxa" w:w="2160"/>
          </w:tcPr>
          <w:p>
            <w:r/>
            <w:r>
              <w:rPr>
                <w:rFonts w:ascii="Times New Roman" w:hAnsi="Times New Roman"/>
                <w:i w:val="0"/>
                <w:sz w:val="20"/>
              </w:rPr>
              <w:t>ST40</w:t>
            </w:r>
          </w:p>
        </w:tc>
        <w:tc>
          <w:tcPr>
            <w:tcW w:type="dxa" w:w="2160"/>
          </w:tcPr>
          <w:p>
            <w:r/>
            <w:r>
              <w:rPr>
                <w:rFonts w:ascii="Times New Roman" w:hAnsi="Times New Roman"/>
                <w:i w:val="0"/>
                <w:sz w:val="20"/>
              </w:rPr>
              <w:t>Gene coordinate reference</w:t>
            </w:r>
          </w:p>
        </w:tc>
        <w:tc>
          <w:tcPr>
            <w:tcW w:type="dxa" w:w="2160"/>
          </w:tcPr>
          <w:p>
            <w:r/>
            <w:r>
              <w:rPr>
                <w:rFonts w:ascii="Times New Roman" w:hAnsi="Times New Roman"/>
                <w:i w:val="0"/>
                <w:sz w:val="20"/>
              </w:rPr>
              <w:t>Extended gene coordinates used for cis-window definitions in colocalization and cell-type MR.</w:t>
            </w:r>
          </w:p>
        </w:tc>
        <w:tc>
          <w:tcPr>
            <w:tcW w:type="dxa" w:w="2160"/>
          </w:tcPr>
          <w:p>
            <w:r/>
            <w:r>
              <w:rPr>
                <w:rFonts w:ascii="Times New Roman" w:hAnsi="Times New Roman"/>
                <w:i w:val="0"/>
                <w:sz w:val="20"/>
              </w:rPr>
              <w:t>`ST40_r5_gene_coords_extended.csv`</w:t>
            </w:r>
          </w:p>
        </w:tc>
      </w:tr>
      <w:tr>
        <w:tc>
          <w:tcPr>
            <w:tcW w:type="dxa" w:w="2160"/>
          </w:tcPr>
          <w:p>
            <w:r/>
            <w:r>
              <w:rPr>
                <w:rFonts w:ascii="Times New Roman" w:hAnsi="Times New Roman"/>
                <w:i w:val="0"/>
                <w:sz w:val="20"/>
              </w:rPr>
              <w:t>ST41</w:t>
            </w:r>
          </w:p>
        </w:tc>
        <w:tc>
          <w:tcPr>
            <w:tcW w:type="dxa" w:w="2160"/>
          </w:tcPr>
          <w:p>
            <w:r/>
            <w:r>
              <w:rPr>
                <w:rFonts w:ascii="Times New Roman" w:hAnsi="Times New Roman"/>
                <w:i w:val="0"/>
                <w:sz w:val="20"/>
              </w:rPr>
              <w:t>cis-pQTL instruments</w:t>
            </w:r>
          </w:p>
        </w:tc>
        <w:tc>
          <w:tcPr>
            <w:tcW w:type="dxa" w:w="2160"/>
          </w:tcPr>
          <w:p>
            <w:r/>
            <w:r>
              <w:rPr>
                <w:rFonts w:ascii="Times New Roman" w:hAnsi="Times New Roman"/>
                <w:i w:val="0"/>
                <w:sz w:val="20"/>
              </w:rPr>
              <w:t>Instrument SNPs for druggable plasma proteins with F statistics (all F &gt; 10).</w:t>
            </w:r>
          </w:p>
        </w:tc>
        <w:tc>
          <w:tcPr>
            <w:tcW w:type="dxa" w:w="2160"/>
          </w:tcPr>
          <w:p>
            <w:r/>
            <w:r>
              <w:rPr>
                <w:rFonts w:ascii="Times New Roman" w:hAnsi="Times New Roman"/>
                <w:i w:val="0"/>
                <w:sz w:val="20"/>
              </w:rPr>
              <w:t>`ST41_r5_pqtl_instruments.csv`</w:t>
            </w:r>
          </w:p>
        </w:tc>
      </w:tr>
      <w:tr>
        <w:tc>
          <w:tcPr>
            <w:tcW w:type="dxa" w:w="2160"/>
          </w:tcPr>
          <w:p>
            <w:r/>
            <w:r>
              <w:rPr>
                <w:rFonts w:ascii="Times New Roman" w:hAnsi="Times New Roman"/>
                <w:i w:val="0"/>
                <w:sz w:val="20"/>
              </w:rPr>
              <w:t>ST42</w:t>
            </w:r>
          </w:p>
        </w:tc>
        <w:tc>
          <w:tcPr>
            <w:tcW w:type="dxa" w:w="2160"/>
          </w:tcPr>
          <w:p>
            <w:r/>
            <w:r>
              <w:rPr>
                <w:rFonts w:ascii="Times New Roman" w:hAnsi="Times New Roman"/>
                <w:i w:val="0"/>
                <w:sz w:val="20"/>
              </w:rPr>
              <w:t>pQTL instrument quality control</w:t>
            </w:r>
          </w:p>
        </w:tc>
        <w:tc>
          <w:tcPr>
            <w:tcW w:type="dxa" w:w="2160"/>
          </w:tcPr>
          <w:p>
            <w:r/>
            <w:r>
              <w:rPr>
                <w:rFonts w:ascii="Times New Roman" w:hAnsi="Times New Roman"/>
                <w:i w:val="0"/>
                <w:sz w:val="20"/>
              </w:rPr>
              <w:t>Steiger direction filtering and instrument-strength checks for the proteome MR screen.</w:t>
            </w:r>
          </w:p>
        </w:tc>
        <w:tc>
          <w:tcPr>
            <w:tcW w:type="dxa" w:w="2160"/>
          </w:tcPr>
          <w:p>
            <w:r/>
            <w:r>
              <w:rPr>
                <w:rFonts w:ascii="Times New Roman" w:hAnsi="Times New Roman"/>
                <w:i w:val="0"/>
                <w:sz w:val="20"/>
              </w:rPr>
              <w:t>`ST42_r5_pqtl_instrument_qc.csv`</w:t>
            </w:r>
          </w:p>
        </w:tc>
      </w:tr>
      <w:tr>
        <w:tc>
          <w:tcPr>
            <w:tcW w:type="dxa" w:w="2160"/>
          </w:tcPr>
          <w:p>
            <w:r/>
            <w:r>
              <w:rPr>
                <w:rFonts w:ascii="Times New Roman" w:hAnsi="Times New Roman"/>
                <w:i w:val="0"/>
                <w:sz w:val="20"/>
              </w:rPr>
              <w:t>ST43</w:t>
            </w:r>
          </w:p>
        </w:tc>
        <w:tc>
          <w:tcPr>
            <w:tcW w:type="dxa" w:w="2160"/>
          </w:tcPr>
          <w:p>
            <w:r/>
            <w:r>
              <w:rPr>
                <w:rFonts w:ascii="Times New Roman" w:hAnsi="Times New Roman"/>
                <w:i w:val="0"/>
                <w:sz w:val="20"/>
              </w:rPr>
              <w:t>Proteome-wide MR screen results</w:t>
            </w:r>
          </w:p>
        </w:tc>
        <w:tc>
          <w:tcPr>
            <w:tcW w:type="dxa" w:w="2160"/>
          </w:tcPr>
          <w:p>
            <w:r/>
            <w:r>
              <w:rPr>
                <w:rFonts w:ascii="Times New Roman" w:hAnsi="Times New Roman"/>
                <w:i w:val="0"/>
                <w:sz w:val="20"/>
              </w:rPr>
              <w:t>Wald/IVW estimates with FDR control for druggable plasma proteins against the three allergic outcomes.</w:t>
            </w:r>
          </w:p>
        </w:tc>
        <w:tc>
          <w:tcPr>
            <w:tcW w:type="dxa" w:w="2160"/>
          </w:tcPr>
          <w:p>
            <w:r/>
            <w:r>
              <w:rPr>
                <w:rFonts w:ascii="Times New Roman" w:hAnsi="Times New Roman"/>
                <w:i w:val="0"/>
                <w:sz w:val="20"/>
              </w:rPr>
              <w:t>`ST43_r5_pqtl_mr_results.csv`</w:t>
            </w:r>
          </w:p>
        </w:tc>
      </w:tr>
      <w:tr>
        <w:tc>
          <w:tcPr>
            <w:tcW w:type="dxa" w:w="2160"/>
          </w:tcPr>
          <w:p>
            <w:r/>
            <w:r>
              <w:rPr>
                <w:rFonts w:ascii="Times New Roman" w:hAnsi="Times New Roman"/>
                <w:i w:val="0"/>
                <w:sz w:val="20"/>
              </w:rPr>
              <w:t>ST44</w:t>
            </w:r>
          </w:p>
        </w:tc>
        <w:tc>
          <w:tcPr>
            <w:tcW w:type="dxa" w:w="2160"/>
          </w:tcPr>
          <w:p>
            <w:r/>
            <w:r>
              <w:rPr>
                <w:rFonts w:ascii="Times New Roman" w:hAnsi="Times New Roman"/>
                <w:i w:val="0"/>
                <w:sz w:val="20"/>
              </w:rPr>
              <w:t>Druggable-target MR hits</w:t>
            </w:r>
          </w:p>
        </w:tc>
        <w:tc>
          <w:tcPr>
            <w:tcW w:type="dxa" w:w="2160"/>
          </w:tcPr>
          <w:p>
            <w:r/>
            <w:r>
              <w:rPr>
                <w:rFonts w:ascii="Times New Roman" w:hAnsi="Times New Roman"/>
                <w:i w:val="0"/>
                <w:sz w:val="20"/>
              </w:rPr>
              <w:t>Four associations at FDR &lt; 0.1, all for atopic dermatitis (IL18, TNFSF14, TNF, TRAIL).</w:t>
            </w:r>
          </w:p>
        </w:tc>
        <w:tc>
          <w:tcPr>
            <w:tcW w:type="dxa" w:w="2160"/>
          </w:tcPr>
          <w:p>
            <w:r/>
            <w:r>
              <w:rPr>
                <w:rFonts w:ascii="Times New Roman" w:hAnsi="Times New Roman"/>
                <w:i w:val="0"/>
                <w:sz w:val="20"/>
              </w:rPr>
              <w:t>`ST44_r5_pqtl_drug_target_mr.csv`</w:t>
            </w:r>
          </w:p>
        </w:tc>
      </w:tr>
      <w:tr>
        <w:tc>
          <w:tcPr>
            <w:tcW w:type="dxa" w:w="2160"/>
          </w:tcPr>
          <w:p>
            <w:r/>
            <w:r>
              <w:rPr>
                <w:rFonts w:ascii="Times New Roman" w:hAnsi="Times New Roman"/>
                <w:i w:val="0"/>
                <w:sz w:val="20"/>
              </w:rPr>
              <w:t>ST45</w:t>
            </w:r>
          </w:p>
        </w:tc>
        <w:tc>
          <w:tcPr>
            <w:tcW w:type="dxa" w:w="2160"/>
          </w:tcPr>
          <w:p>
            <w:r/>
            <w:r>
              <w:rPr>
                <w:rFonts w:ascii="Times New Roman" w:hAnsi="Times New Roman"/>
                <w:i w:val="0"/>
                <w:sz w:val="20"/>
              </w:rPr>
              <w:t>pQTL colocalization adjudication</w:t>
            </w:r>
          </w:p>
        </w:tc>
        <w:tc>
          <w:tcPr>
            <w:tcW w:type="dxa" w:w="2160"/>
          </w:tcPr>
          <w:p>
            <w:r/>
            <w:r>
              <w:rPr>
                <w:rFonts w:ascii="Times New Roman" w:hAnsi="Times New Roman"/>
                <w:i w:val="0"/>
                <w:sz w:val="20"/>
              </w:rPr>
              <w:t>PP.H4 per hit: IL18 (0.968) and TNFSF14 (0.976) retained; TNF (0.010) and TRAIL (0.282) rejected as linkage artefacts.</w:t>
            </w:r>
          </w:p>
        </w:tc>
        <w:tc>
          <w:tcPr>
            <w:tcW w:type="dxa" w:w="2160"/>
          </w:tcPr>
          <w:p>
            <w:r/>
            <w:r>
              <w:rPr>
                <w:rFonts w:ascii="Times New Roman" w:hAnsi="Times New Roman"/>
                <w:i w:val="0"/>
                <w:sz w:val="20"/>
              </w:rPr>
              <w:t>`ST45_r5_pqtl_coloc.csv`</w:t>
            </w:r>
          </w:p>
        </w:tc>
      </w:tr>
      <w:tr>
        <w:tc>
          <w:tcPr>
            <w:tcW w:type="dxa" w:w="2160"/>
          </w:tcPr>
          <w:p>
            <w:r/>
            <w:r>
              <w:rPr>
                <w:rFonts w:ascii="Times New Roman" w:hAnsi="Times New Roman"/>
                <w:i w:val="0"/>
                <w:sz w:val="20"/>
              </w:rPr>
              <w:t>ST46</w:t>
            </w:r>
          </w:p>
        </w:tc>
        <w:tc>
          <w:tcPr>
            <w:tcW w:type="dxa" w:w="2160"/>
          </w:tcPr>
          <w:p>
            <w:r/>
            <w:r>
              <w:rPr>
                <w:rFonts w:ascii="Times New Roman" w:hAnsi="Times New Roman"/>
                <w:i w:val="0"/>
                <w:sz w:val="20"/>
              </w:rPr>
              <w:t>Per-SNP colocalization: IL18 vs atopic dermatitis</w:t>
            </w:r>
          </w:p>
        </w:tc>
        <w:tc>
          <w:tcPr>
            <w:tcW w:type="dxa" w:w="2160"/>
          </w:tcPr>
          <w:p>
            <w:r/>
            <w:r>
              <w:rPr>
                <w:rFonts w:ascii="Times New Roman" w:hAnsi="Times New Roman"/>
                <w:i w:val="0"/>
                <w:sz w:val="20"/>
              </w:rPr>
              <w:t>Per-SNP posterior contributions for the IL18 cis-pQTL vs atopic dermatitis colocalization.</w:t>
            </w:r>
          </w:p>
        </w:tc>
        <w:tc>
          <w:tcPr>
            <w:tcW w:type="dxa" w:w="2160"/>
          </w:tcPr>
          <w:p>
            <w:r/>
            <w:r>
              <w:rPr>
                <w:rFonts w:ascii="Times New Roman" w:hAnsi="Times New Roman"/>
                <w:i w:val="0"/>
                <w:sz w:val="20"/>
              </w:rPr>
              <w:t>`ST46_r5_pqtl_coloc_IL18_L12_ATOPIC_persnp.csv`</w:t>
            </w:r>
          </w:p>
        </w:tc>
      </w:tr>
      <w:tr>
        <w:tc>
          <w:tcPr>
            <w:tcW w:type="dxa" w:w="2160"/>
          </w:tcPr>
          <w:p>
            <w:r/>
            <w:r>
              <w:rPr>
                <w:rFonts w:ascii="Times New Roman" w:hAnsi="Times New Roman"/>
                <w:i w:val="0"/>
                <w:sz w:val="20"/>
              </w:rPr>
              <w:t>ST47</w:t>
            </w:r>
          </w:p>
        </w:tc>
        <w:tc>
          <w:tcPr>
            <w:tcW w:type="dxa" w:w="2160"/>
          </w:tcPr>
          <w:p>
            <w:r/>
            <w:r>
              <w:rPr>
                <w:rFonts w:ascii="Times New Roman" w:hAnsi="Times New Roman"/>
                <w:i w:val="0"/>
                <w:sz w:val="20"/>
              </w:rPr>
              <w:t>Per-SNP colocalization: TNFSF14 vs atopic dermatitis</w:t>
            </w:r>
          </w:p>
        </w:tc>
        <w:tc>
          <w:tcPr>
            <w:tcW w:type="dxa" w:w="2160"/>
          </w:tcPr>
          <w:p>
            <w:r/>
            <w:r>
              <w:rPr>
                <w:rFonts w:ascii="Times New Roman" w:hAnsi="Times New Roman"/>
                <w:i w:val="0"/>
                <w:sz w:val="20"/>
              </w:rPr>
              <w:t>Per-SNP posterior contributions for the TNFSF14 cis-pQTL vs atopic dermatitis colocalization.</w:t>
            </w:r>
          </w:p>
        </w:tc>
        <w:tc>
          <w:tcPr>
            <w:tcW w:type="dxa" w:w="2160"/>
          </w:tcPr>
          <w:p>
            <w:r/>
            <w:r>
              <w:rPr>
                <w:rFonts w:ascii="Times New Roman" w:hAnsi="Times New Roman"/>
                <w:i w:val="0"/>
                <w:sz w:val="20"/>
              </w:rPr>
              <w:t>`ST47_r5_pqtl_coloc_TNFSF14_L12_ATOPIC_persnp.csv`</w:t>
            </w:r>
          </w:p>
        </w:tc>
      </w:tr>
      <w:tr>
        <w:tc>
          <w:tcPr>
            <w:tcW w:type="dxa" w:w="2160"/>
          </w:tcPr>
          <w:p>
            <w:r/>
            <w:r>
              <w:rPr>
                <w:rFonts w:ascii="Times New Roman" w:hAnsi="Times New Roman"/>
                <w:i w:val="0"/>
                <w:sz w:val="20"/>
              </w:rPr>
              <w:t>ST48</w:t>
            </w:r>
          </w:p>
        </w:tc>
        <w:tc>
          <w:tcPr>
            <w:tcW w:type="dxa" w:w="2160"/>
          </w:tcPr>
          <w:p>
            <w:r/>
            <w:r>
              <w:rPr>
                <w:rFonts w:ascii="Times New Roman" w:hAnsi="Times New Roman"/>
                <w:i w:val="0"/>
                <w:sz w:val="20"/>
              </w:rPr>
              <w:t>Per-SNP colocalization: TNF vs atopic dermatitis</w:t>
            </w:r>
          </w:p>
        </w:tc>
        <w:tc>
          <w:tcPr>
            <w:tcW w:type="dxa" w:w="2160"/>
          </w:tcPr>
          <w:p>
            <w:r/>
            <w:r>
              <w:rPr>
                <w:rFonts w:ascii="Times New Roman" w:hAnsi="Times New Roman"/>
                <w:i w:val="0"/>
                <w:sz w:val="20"/>
              </w:rPr>
              <w:t>Per-SNP posterior contributions for the TNF cis-pQTL vs atopic dermatitis colocalization (linkage artefact).</w:t>
            </w:r>
          </w:p>
        </w:tc>
        <w:tc>
          <w:tcPr>
            <w:tcW w:type="dxa" w:w="2160"/>
          </w:tcPr>
          <w:p>
            <w:r/>
            <w:r>
              <w:rPr>
                <w:rFonts w:ascii="Times New Roman" w:hAnsi="Times New Roman"/>
                <w:i w:val="0"/>
                <w:sz w:val="20"/>
              </w:rPr>
              <w:t>`ST48_r5_pqtl_coloc_TNF_L12_ATOPIC_persnp.csv`</w:t>
            </w:r>
          </w:p>
        </w:tc>
      </w:tr>
      <w:tr>
        <w:tc>
          <w:tcPr>
            <w:tcW w:type="dxa" w:w="2160"/>
          </w:tcPr>
          <w:p>
            <w:r/>
            <w:r>
              <w:rPr>
                <w:rFonts w:ascii="Times New Roman" w:hAnsi="Times New Roman"/>
                <w:i w:val="0"/>
                <w:sz w:val="20"/>
              </w:rPr>
              <w:t>ST49</w:t>
            </w:r>
          </w:p>
        </w:tc>
        <w:tc>
          <w:tcPr>
            <w:tcW w:type="dxa" w:w="2160"/>
          </w:tcPr>
          <w:p>
            <w:r/>
            <w:r>
              <w:rPr>
                <w:rFonts w:ascii="Times New Roman" w:hAnsi="Times New Roman"/>
                <w:i w:val="0"/>
                <w:sz w:val="20"/>
              </w:rPr>
              <w:t>Per-SNP colocalization: TRAIL vs atopic dermatitis</w:t>
            </w:r>
          </w:p>
        </w:tc>
        <w:tc>
          <w:tcPr>
            <w:tcW w:type="dxa" w:w="2160"/>
          </w:tcPr>
          <w:p>
            <w:r/>
            <w:r>
              <w:rPr>
                <w:rFonts w:ascii="Times New Roman" w:hAnsi="Times New Roman"/>
                <w:i w:val="0"/>
                <w:sz w:val="20"/>
              </w:rPr>
              <w:t>Per-SNP posterior contributions for the TRAIL cis-pQTL vs atopic dermatitis colocalization (linkage artefact).</w:t>
            </w:r>
          </w:p>
        </w:tc>
        <w:tc>
          <w:tcPr>
            <w:tcW w:type="dxa" w:w="2160"/>
          </w:tcPr>
          <w:p>
            <w:r/>
            <w:r>
              <w:rPr>
                <w:rFonts w:ascii="Times New Roman" w:hAnsi="Times New Roman"/>
                <w:i w:val="0"/>
                <w:sz w:val="20"/>
              </w:rPr>
              <w:t>`ST49_r5_pqtl_coloc_TRAIL_L12_ATOPIC_persnp.csv`</w:t>
            </w:r>
          </w:p>
        </w:tc>
      </w:tr>
      <w:tr>
        <w:tc>
          <w:tcPr>
            <w:tcW w:type="dxa" w:w="2160"/>
          </w:tcPr>
          <w:p>
            <w:r/>
            <w:r>
              <w:rPr>
                <w:rFonts w:ascii="Times New Roman" w:hAnsi="Times New Roman"/>
                <w:i w:val="0"/>
                <w:sz w:val="20"/>
              </w:rPr>
              <w:t>ST50</w:t>
            </w:r>
          </w:p>
        </w:tc>
        <w:tc>
          <w:tcPr>
            <w:tcW w:type="dxa" w:w="2160"/>
          </w:tcPr>
          <w:p>
            <w:r/>
            <w:r>
              <w:rPr>
                <w:rFonts w:ascii="Times New Roman" w:hAnsi="Times New Roman"/>
                <w:i w:val="0"/>
                <w:sz w:val="20"/>
              </w:rPr>
              <w:t>Drug-target map</w:t>
            </w:r>
          </w:p>
        </w:tc>
        <w:tc>
          <w:tcPr>
            <w:tcW w:type="dxa" w:w="2160"/>
          </w:tcPr>
          <w:p>
            <w:r/>
            <w:r>
              <w:rPr>
                <w:rFonts w:ascii="Times New Roman" w:hAnsi="Times New Roman"/>
                <w:i w:val="0"/>
                <w:sz w:val="20"/>
              </w:rPr>
              <w:t>Curated drug-target mappings (e.g., tadekinig alfa-IL18, tezepelumab-TSLP, dupilumab-IL4R, mepolizumab-IL5).</w:t>
            </w:r>
          </w:p>
        </w:tc>
        <w:tc>
          <w:tcPr>
            <w:tcW w:type="dxa" w:w="2160"/>
          </w:tcPr>
          <w:p>
            <w:r/>
            <w:r>
              <w:rPr>
                <w:rFonts w:ascii="Times New Roman" w:hAnsi="Times New Roman"/>
                <w:i w:val="0"/>
                <w:sz w:val="20"/>
              </w:rPr>
              <w:t>`ST50_r5_pqtl_drug_map.csv`</w:t>
            </w:r>
          </w:p>
        </w:tc>
      </w:tr>
      <w:tr>
        <w:tc>
          <w:tcPr>
            <w:tcW w:type="dxa" w:w="2160"/>
          </w:tcPr>
          <w:p>
            <w:r/>
            <w:r>
              <w:rPr>
                <w:rFonts w:ascii="Times New Roman" w:hAnsi="Times New Roman"/>
                <w:i w:val="0"/>
                <w:sz w:val="20"/>
              </w:rPr>
              <w:t>ST51</w:t>
            </w:r>
          </w:p>
        </w:tc>
        <w:tc>
          <w:tcPr>
            <w:tcW w:type="dxa" w:w="2160"/>
          </w:tcPr>
          <w:p>
            <w:r/>
            <w:r>
              <w:rPr>
                <w:rFonts w:ascii="Times New Roman" w:hAnsi="Times New Roman"/>
                <w:i w:val="0"/>
                <w:sz w:val="20"/>
              </w:rPr>
              <w:t>Proteome build harmonization QC</w:t>
            </w:r>
          </w:p>
        </w:tc>
        <w:tc>
          <w:tcPr>
            <w:tcW w:type="dxa" w:w="2160"/>
          </w:tcPr>
          <w:p>
            <w:r/>
            <w:r>
              <w:rPr>
                <w:rFonts w:ascii="Times New Roman" w:hAnsi="Times New Roman"/>
                <w:i w:val="0"/>
                <w:sz w:val="20"/>
              </w:rPr>
              <w:t>Genome-build and allele harmonization checks for the pQTL MR screen.</w:t>
            </w:r>
          </w:p>
        </w:tc>
        <w:tc>
          <w:tcPr>
            <w:tcW w:type="dxa" w:w="2160"/>
          </w:tcPr>
          <w:p>
            <w:r/>
            <w:r>
              <w:rPr>
                <w:rFonts w:ascii="Times New Roman" w:hAnsi="Times New Roman"/>
                <w:i w:val="0"/>
                <w:sz w:val="20"/>
              </w:rPr>
              <w:t>`ST51_r5_pqtl_build_check.csv`</w:t>
            </w:r>
          </w:p>
        </w:tc>
      </w:tr>
      <w:tr>
        <w:tc>
          <w:tcPr>
            <w:tcW w:type="dxa" w:w="2160"/>
          </w:tcPr>
          <w:p>
            <w:r/>
            <w:r>
              <w:rPr>
                <w:rFonts w:ascii="Times New Roman" w:hAnsi="Times New Roman"/>
                <w:i w:val="0"/>
                <w:sz w:val="20"/>
              </w:rPr>
              <w:t>ST52</w:t>
            </w:r>
          </w:p>
        </w:tc>
        <w:tc>
          <w:tcPr>
            <w:tcW w:type="dxa" w:w="2160"/>
          </w:tcPr>
          <w:p>
            <w:r/>
            <w:r>
              <w:rPr>
                <w:rFonts w:ascii="Times New Roman" w:hAnsi="Times New Roman"/>
                <w:i w:val="0"/>
                <w:sz w:val="20"/>
              </w:rPr>
              <w:t>FAERS signal summary</w:t>
            </w:r>
          </w:p>
        </w:tc>
        <w:tc>
          <w:tcPr>
            <w:tcW w:type="dxa" w:w="2160"/>
          </w:tcPr>
          <w:p>
            <w:r/>
            <w:r>
              <w:rPr>
                <w:rFonts w:ascii="Times New Roman" w:hAnsi="Times New Roman"/>
                <w:i w:val="0"/>
                <w:sz w:val="20"/>
              </w:rPr>
              <w:t>Reporting odds ratios by drug and adverse-event domain for anti-type-2 biologics (FAERS).</w:t>
            </w:r>
          </w:p>
        </w:tc>
        <w:tc>
          <w:tcPr>
            <w:tcW w:type="dxa" w:w="2160"/>
          </w:tcPr>
          <w:p>
            <w:r/>
            <w:r>
              <w:rPr>
                <w:rFonts w:ascii="Times New Roman" w:hAnsi="Times New Roman"/>
                <w:i w:val="0"/>
                <w:sz w:val="20"/>
              </w:rPr>
              <w:t>`ST52_r5_pharmacovigilance_summary.csv`</w:t>
            </w:r>
          </w:p>
        </w:tc>
      </w:tr>
      <w:tr>
        <w:tc>
          <w:tcPr>
            <w:tcW w:type="dxa" w:w="2160"/>
          </w:tcPr>
          <w:p>
            <w:r/>
            <w:r>
              <w:rPr>
                <w:rFonts w:ascii="Times New Roman" w:hAnsi="Times New Roman"/>
                <w:i w:val="0"/>
                <w:sz w:val="20"/>
              </w:rPr>
              <w:t>ST53</w:t>
            </w:r>
          </w:p>
        </w:tc>
        <w:tc>
          <w:tcPr>
            <w:tcW w:type="dxa" w:w="2160"/>
          </w:tcPr>
          <w:p>
            <w:r/>
            <w:r>
              <w:rPr>
                <w:rFonts w:ascii="Times New Roman" w:hAnsi="Times New Roman"/>
                <w:i w:val="0"/>
                <w:sz w:val="20"/>
              </w:rPr>
              <w:t>Canada Vigilance RORs</w:t>
            </w:r>
          </w:p>
        </w:tc>
        <w:tc>
          <w:tcPr>
            <w:tcW w:type="dxa" w:w="2160"/>
          </w:tcPr>
          <w:p>
            <w:r/>
            <w:r>
              <w:rPr>
                <w:rFonts w:ascii="Times New Roman" w:hAnsi="Times New Roman"/>
                <w:i w:val="0"/>
                <w:sz w:val="20"/>
              </w:rPr>
              <w:t>Paired reporting odds ratios from the Canada Vigilance adverse reaction database.</w:t>
            </w:r>
          </w:p>
        </w:tc>
        <w:tc>
          <w:tcPr>
            <w:tcW w:type="dxa" w:w="2160"/>
          </w:tcPr>
          <w:p>
            <w:r/>
            <w:r>
              <w:rPr>
                <w:rFonts w:ascii="Times New Roman" w:hAnsi="Times New Roman"/>
                <w:i w:val="0"/>
                <w:sz w:val="20"/>
              </w:rPr>
              <w:t>`ST53_r5_canada_vigilance_ror.csv`</w:t>
            </w:r>
          </w:p>
        </w:tc>
      </w:tr>
      <w:tr>
        <w:tc>
          <w:tcPr>
            <w:tcW w:type="dxa" w:w="2160"/>
          </w:tcPr>
          <w:p>
            <w:r/>
            <w:r>
              <w:rPr>
                <w:rFonts w:ascii="Times New Roman" w:hAnsi="Times New Roman"/>
                <w:i w:val="0"/>
                <w:sz w:val="20"/>
              </w:rPr>
              <w:t>ST54</w:t>
            </w:r>
          </w:p>
        </w:tc>
        <w:tc>
          <w:tcPr>
            <w:tcW w:type="dxa" w:w="2160"/>
          </w:tcPr>
          <w:p>
            <w:r/>
            <w:r>
              <w:rPr>
                <w:rFonts w:ascii="Times New Roman" w:hAnsi="Times New Roman"/>
                <w:i w:val="0"/>
                <w:sz w:val="20"/>
              </w:rPr>
              <w:t>Cross-database concordance</w:t>
            </w:r>
          </w:p>
        </w:tc>
        <w:tc>
          <w:tcPr>
            <w:tcW w:type="dxa" w:w="2160"/>
          </w:tcPr>
          <w:p>
            <w:r/>
            <w:r>
              <w:rPr>
                <w:rFonts w:ascii="Times New Roman" w:hAnsi="Times New Roman"/>
                <w:i w:val="0"/>
                <w:sz w:val="20"/>
              </w:rPr>
              <w:t>FAERS versus Canada Vigilance concordance (12 of 21 drugs concordant at ROR &gt; 2 in both databases).</w:t>
            </w:r>
          </w:p>
        </w:tc>
        <w:tc>
          <w:tcPr>
            <w:tcW w:type="dxa" w:w="2160"/>
          </w:tcPr>
          <w:p>
            <w:r/>
            <w:r>
              <w:rPr>
                <w:rFonts w:ascii="Times New Roman" w:hAnsi="Times New Roman"/>
                <w:i w:val="0"/>
                <w:sz w:val="20"/>
              </w:rPr>
              <w:t>`ST54_r5_two_database_concordance.csv`</w:t>
            </w:r>
          </w:p>
        </w:tc>
      </w:tr>
      <w:tr>
        <w:tc>
          <w:tcPr>
            <w:tcW w:type="dxa" w:w="2160"/>
          </w:tcPr>
          <w:p>
            <w:r/>
            <w:r>
              <w:rPr>
                <w:rFonts w:ascii="Times New Roman" w:hAnsi="Times New Roman"/>
                <w:i w:val="0"/>
                <w:sz w:val="20"/>
              </w:rPr>
              <w:t>ST55</w:t>
            </w:r>
          </w:p>
        </w:tc>
        <w:tc>
          <w:tcPr>
            <w:tcW w:type="dxa" w:w="2160"/>
          </w:tcPr>
          <w:p>
            <w:r/>
            <w:r>
              <w:rPr>
                <w:rFonts w:ascii="Times New Roman" w:hAnsi="Times New Roman"/>
                <w:i w:val="0"/>
                <w:sz w:val="20"/>
              </w:rPr>
              <w:t>Target-versus-AE direction consistency</w:t>
            </w:r>
          </w:p>
        </w:tc>
        <w:tc>
          <w:tcPr>
            <w:tcW w:type="dxa" w:w="2160"/>
          </w:tcPr>
          <w:p>
            <w:r/>
            <w:r>
              <w:rPr>
                <w:rFonts w:ascii="Times New Roman" w:hAnsi="Times New Roman"/>
                <w:i w:val="0"/>
                <w:sz w:val="20"/>
              </w:rPr>
              <w:t>Direction consistency between pharmacological target modulation and adverse-event signals.</w:t>
            </w:r>
          </w:p>
        </w:tc>
        <w:tc>
          <w:tcPr>
            <w:tcW w:type="dxa" w:w="2160"/>
          </w:tcPr>
          <w:p>
            <w:r/>
            <w:r>
              <w:rPr>
                <w:rFonts w:ascii="Times New Roman" w:hAnsi="Times New Roman"/>
                <w:i w:val="0"/>
                <w:sz w:val="20"/>
              </w:rPr>
              <w:t>`ST55_r5_target_vs_ae_direction.csv`</w:t>
            </w:r>
          </w:p>
        </w:tc>
      </w:tr>
      <w:tr>
        <w:tc>
          <w:tcPr>
            <w:tcW w:type="dxa" w:w="2160"/>
          </w:tcPr>
          <w:p>
            <w:r/>
            <w:r>
              <w:rPr>
                <w:rFonts w:ascii="Times New Roman" w:hAnsi="Times New Roman"/>
                <w:i w:val="0"/>
                <w:sz w:val="20"/>
              </w:rPr>
              <w:t>ST56</w:t>
            </w:r>
          </w:p>
        </w:tc>
        <w:tc>
          <w:tcPr>
            <w:tcW w:type="dxa" w:w="2160"/>
          </w:tcPr>
          <w:p>
            <w:r/>
            <w:r>
              <w:rPr>
                <w:rFonts w:ascii="Times New Roman" w:hAnsi="Times New Roman"/>
                <w:i w:val="0"/>
                <w:sz w:val="20"/>
              </w:rPr>
              <w:t>ClinicalTrials.gov ageing-AE scan</w:t>
            </w:r>
          </w:p>
        </w:tc>
        <w:tc>
          <w:tcPr>
            <w:tcW w:type="dxa" w:w="2160"/>
          </w:tcPr>
          <w:p>
            <w:r/>
            <w:r>
              <w:rPr>
                <w:rFonts w:ascii="Times New Roman" w:hAnsi="Times New Roman"/>
                <w:i w:val="0"/>
                <w:sz w:val="20"/>
              </w:rPr>
              <w:t>Registry scan: 0 of 11,713 relevant records report structured ageing-related adverse-event modules.</w:t>
            </w:r>
          </w:p>
        </w:tc>
        <w:tc>
          <w:tcPr>
            <w:tcW w:type="dxa" w:w="2160"/>
          </w:tcPr>
          <w:p>
            <w:r/>
            <w:r>
              <w:rPr>
                <w:rFonts w:ascii="Times New Roman" w:hAnsi="Times New Roman"/>
                <w:i w:val="0"/>
                <w:sz w:val="20"/>
              </w:rPr>
              <w:t>`ST56_r5_trial_ae_summary.csv`</w:t>
            </w:r>
          </w:p>
        </w:tc>
      </w:tr>
      <w:tr>
        <w:tc>
          <w:tcPr>
            <w:tcW w:type="dxa" w:w="2160"/>
          </w:tcPr>
          <w:p>
            <w:r/>
            <w:r>
              <w:rPr>
                <w:rFonts w:ascii="Times New Roman" w:hAnsi="Times New Roman"/>
                <w:i w:val="0"/>
                <w:sz w:val="20"/>
              </w:rPr>
              <w:t>ST57</w:t>
            </w:r>
          </w:p>
        </w:tc>
        <w:tc>
          <w:tcPr>
            <w:tcW w:type="dxa" w:w="2160"/>
          </w:tcPr>
          <w:p>
            <w:r/>
            <w:r>
              <w:rPr>
                <w:rFonts w:ascii="Times New Roman" w:hAnsi="Times New Roman"/>
                <w:i w:val="0"/>
                <w:sz w:val="20"/>
              </w:rPr>
              <w:t>Independent-cohort replication MR</w:t>
            </w:r>
          </w:p>
        </w:tc>
        <w:tc>
          <w:tcPr>
            <w:tcW w:type="dxa" w:w="2160"/>
          </w:tcPr>
          <w:p>
            <w:r/>
            <w:r>
              <w:rPr>
                <w:rFonts w:ascii="Times New Roman" w:hAnsi="Times New Roman"/>
                <w:i w:val="0"/>
                <w:sz w:val="20"/>
              </w:rPr>
              <w:t>IVW, MR-Egger and weighted-median estimates for 5 ageing instruments + the 93-SNP composite index against five non-FinnGen EUR replication GWAS (asthma: Han GCST010042, TAGC GCST005212, Neale 20002_1111; atopic dermatitis: EAGLE GCST003184; rhinitis: Neale 6152_9).</w:t>
            </w:r>
          </w:p>
        </w:tc>
        <w:tc>
          <w:tcPr>
            <w:tcW w:type="dxa" w:w="2160"/>
          </w:tcPr>
          <w:p>
            <w:r/>
            <w:r>
              <w:rPr>
                <w:rFonts w:ascii="Times New Roman" w:hAnsi="Times New Roman"/>
                <w:i w:val="0"/>
                <w:sz w:val="20"/>
              </w:rPr>
              <w:t>`ST57_r6_replication_mr.csv`</w:t>
            </w:r>
          </w:p>
        </w:tc>
      </w:tr>
      <w:tr>
        <w:tc>
          <w:tcPr>
            <w:tcW w:type="dxa" w:w="2160"/>
          </w:tcPr>
          <w:p>
            <w:r/>
            <w:r>
              <w:rPr>
                <w:rFonts w:ascii="Times New Roman" w:hAnsi="Times New Roman"/>
                <w:i w:val="0"/>
                <w:sz w:val="20"/>
              </w:rPr>
              <w:t>ST58</w:t>
            </w:r>
          </w:p>
        </w:tc>
        <w:tc>
          <w:tcPr>
            <w:tcW w:type="dxa" w:w="2160"/>
          </w:tcPr>
          <w:p>
            <w:r/>
            <w:r>
              <w:rPr>
                <w:rFonts w:ascii="Times New Roman" w:hAnsi="Times New Roman"/>
                <w:i w:val="0"/>
                <w:sz w:val="20"/>
              </w:rPr>
              <w:t>Replication meta-analysis</w:t>
            </w:r>
          </w:p>
        </w:tc>
        <w:tc>
          <w:tcPr>
            <w:tcW w:type="dxa" w:w="2160"/>
          </w:tcPr>
          <w:p>
            <w:r/>
            <w:r>
              <w:rPr>
                <w:rFonts w:ascii="Times New Roman" w:hAnsi="Times New Roman"/>
                <w:i w:val="0"/>
                <w:sz w:val="20"/>
              </w:rPr>
              <w:t>Fixed-effect and DerSimonian-Laird random-effects meta-analyses of FinnGen + independent sources per exposure x outcome, with Cochran Q and I^2 (primary and sensitivity schemes).</w:t>
            </w:r>
          </w:p>
        </w:tc>
        <w:tc>
          <w:tcPr>
            <w:tcW w:type="dxa" w:w="2160"/>
          </w:tcPr>
          <w:p>
            <w:r/>
            <w:r>
              <w:rPr>
                <w:rFonts w:ascii="Times New Roman" w:hAnsi="Times New Roman"/>
                <w:i w:val="0"/>
                <w:sz w:val="20"/>
              </w:rPr>
              <w:t>`ST58_r6_meta_analysis.csv`</w:t>
            </w:r>
          </w:p>
        </w:tc>
      </w:tr>
      <w:tr>
        <w:tc>
          <w:tcPr>
            <w:tcW w:type="dxa" w:w="2160"/>
          </w:tcPr>
          <w:p>
            <w:r/>
            <w:r>
              <w:rPr>
                <w:rFonts w:ascii="Times New Roman" w:hAnsi="Times New Roman"/>
                <w:i w:val="0"/>
                <w:sz w:val="20"/>
              </w:rPr>
              <w:t>ST59</w:t>
            </w:r>
          </w:p>
        </w:tc>
        <w:tc>
          <w:tcPr>
            <w:tcW w:type="dxa" w:w="2160"/>
          </w:tcPr>
          <w:p>
            <w:r/>
            <w:r>
              <w:rPr>
                <w:rFonts w:ascii="Times New Roman" w:hAnsi="Times New Roman"/>
                <w:i w:val="0"/>
                <w:sz w:val="20"/>
              </w:rPr>
              <w:t>LDSC SNP heritabilities</w:t>
            </w:r>
          </w:p>
        </w:tc>
        <w:tc>
          <w:tcPr>
            <w:tcW w:type="dxa" w:w="2160"/>
          </w:tcPr>
          <w:p>
            <w:r/>
            <w:r>
              <w:rPr>
                <w:rFonts w:ascii="Times New Roman" w:hAnsi="Times New Roman"/>
                <w:i w:val="0"/>
                <w:sz w:val="20"/>
              </w:rPr>
              <w:t>h2, intercepts, intercept ratios and mean chi2 for 5 ageing exposures and 3 FinnGen allergic outcomes (HapMap3, 1000-Genomes EUR LD scores).</w:t>
            </w:r>
          </w:p>
        </w:tc>
        <w:tc>
          <w:tcPr>
            <w:tcW w:type="dxa" w:w="2160"/>
          </w:tcPr>
          <w:p>
            <w:r/>
            <w:r>
              <w:rPr>
                <w:rFonts w:ascii="Times New Roman" w:hAnsi="Times New Roman"/>
                <w:i w:val="0"/>
                <w:sz w:val="20"/>
              </w:rPr>
              <w:t>`ST59_r6_ldsc_h2.csv`</w:t>
            </w:r>
          </w:p>
        </w:tc>
      </w:tr>
      <w:tr>
        <w:tc>
          <w:tcPr>
            <w:tcW w:type="dxa" w:w="2160"/>
          </w:tcPr>
          <w:p>
            <w:r/>
            <w:r>
              <w:rPr>
                <w:rFonts w:ascii="Times New Roman" w:hAnsi="Times New Roman"/>
                <w:i w:val="0"/>
                <w:sz w:val="20"/>
              </w:rPr>
              <w:t>ST60</w:t>
            </w:r>
          </w:p>
        </w:tc>
        <w:tc>
          <w:tcPr>
            <w:tcW w:type="dxa" w:w="2160"/>
          </w:tcPr>
          <w:p>
            <w:r/>
            <w:r>
              <w:rPr>
                <w:rFonts w:ascii="Times New Roman" w:hAnsi="Times New Roman"/>
                <w:i w:val="0"/>
                <w:sz w:val="20"/>
              </w:rPr>
              <w:t>LDSC genetic correlations</w:t>
            </w:r>
          </w:p>
        </w:tc>
        <w:tc>
          <w:tcPr>
            <w:tcW w:type="dxa" w:w="2160"/>
          </w:tcPr>
          <w:p>
            <w:r/>
            <w:r>
              <w:rPr>
                <w:rFonts w:ascii="Times New Roman" w:hAnsi="Times New Roman"/>
                <w:i w:val="0"/>
                <w:sz w:val="20"/>
              </w:rPr>
              <w:t>rg with jackknife SEs for all 28 trait pairs; the 15 pre-specified exposure-outcome pairs carry both the 28-pair and 15-pair BH-FDR families.</w:t>
            </w:r>
          </w:p>
        </w:tc>
        <w:tc>
          <w:tcPr>
            <w:tcW w:type="dxa" w:w="2160"/>
          </w:tcPr>
          <w:p>
            <w:r/>
            <w:r>
              <w:rPr>
                <w:rFonts w:ascii="Times New Roman" w:hAnsi="Times New Roman"/>
                <w:i w:val="0"/>
                <w:sz w:val="20"/>
              </w:rPr>
              <w:t>`ST60_r6_ldsc_rg.csv`</w:t>
            </w:r>
          </w:p>
        </w:tc>
      </w:tr>
      <w:tr>
        <w:tc>
          <w:tcPr>
            <w:tcW w:type="dxa" w:w="2160"/>
          </w:tcPr>
          <w:p>
            <w:r/>
            <w:r>
              <w:rPr>
                <w:rFonts w:ascii="Times New Roman" w:hAnsi="Times New Roman"/>
                <w:i w:val="0"/>
                <w:sz w:val="20"/>
              </w:rPr>
              <w:t>ST61</w:t>
            </w:r>
          </w:p>
        </w:tc>
        <w:tc>
          <w:tcPr>
            <w:tcW w:type="dxa" w:w="2160"/>
          </w:tcPr>
          <w:p>
            <w:r/>
            <w:r>
              <w:rPr>
                <w:rFonts w:ascii="Times New Roman" w:hAnsi="Times New Roman"/>
                <w:i w:val="0"/>
                <w:sz w:val="20"/>
              </w:rPr>
              <w:t>Multivariable MR results</w:t>
            </w:r>
          </w:p>
        </w:tc>
        <w:tc>
          <w:tcPr>
            <w:tcW w:type="dxa" w:w="2160"/>
          </w:tcPr>
          <w:p>
            <w:r/>
            <w:r>
              <w:rPr>
                <w:rFonts w:ascii="Times New Roman" w:hAnsi="Times New Roman"/>
                <w:i w:val="0"/>
                <w:sz w:val="20"/>
              </w:rPr>
              <w:t>Frailty adjusted for BMI, smoking initiation and education per outcome (MVMR-IVW and LD-GLS estimators, conditional F and Q_A).</w:t>
            </w:r>
          </w:p>
        </w:tc>
        <w:tc>
          <w:tcPr>
            <w:tcW w:type="dxa" w:w="2160"/>
          </w:tcPr>
          <w:p>
            <w:r/>
            <w:r>
              <w:rPr>
                <w:rFonts w:ascii="Times New Roman" w:hAnsi="Times New Roman"/>
                <w:i w:val="0"/>
                <w:sz w:val="20"/>
              </w:rPr>
              <w:t>`ST61_r6_mvmr_results.csv`</w:t>
            </w:r>
          </w:p>
        </w:tc>
      </w:tr>
      <w:tr>
        <w:tc>
          <w:tcPr>
            <w:tcW w:type="dxa" w:w="2160"/>
          </w:tcPr>
          <w:p>
            <w:r/>
            <w:r>
              <w:rPr>
                <w:rFonts w:ascii="Times New Roman" w:hAnsi="Times New Roman"/>
                <w:i w:val="0"/>
                <w:sz w:val="20"/>
              </w:rPr>
              <w:t>ST62</w:t>
            </w:r>
          </w:p>
        </w:tc>
        <w:tc>
          <w:tcPr>
            <w:tcW w:type="dxa" w:w="2160"/>
          </w:tcPr>
          <w:p>
            <w:r/>
            <w:r>
              <w:rPr>
                <w:rFonts w:ascii="Times New Roman" w:hAnsi="Times New Roman"/>
                <w:i w:val="0"/>
                <w:sz w:val="20"/>
              </w:rPr>
              <w:t>Immune-locus-excluded frailty IVW</w:t>
            </w:r>
          </w:p>
        </w:tc>
        <w:tc>
          <w:tcPr>
            <w:tcW w:type="dxa" w:w="2160"/>
          </w:tcPr>
          <w:p>
            <w:r/>
            <w:r>
              <w:rPr>
                <w:rFonts w:ascii="Times New Roman" w:hAnsi="Times New Roman"/>
                <w:i w:val="0"/>
                <w:sz w:val="20"/>
              </w:rPr>
              <w:t>Full versus immune-excluded instrument estimates per outcome (+-1 Mb around HLA, 5q31, TSLP, IL33, IL1RL1/IL18R1, FLG, IL4R, GATA3, STAT6, IL18, TNFSF14).</w:t>
            </w:r>
          </w:p>
        </w:tc>
        <w:tc>
          <w:tcPr>
            <w:tcW w:type="dxa" w:w="2160"/>
          </w:tcPr>
          <w:p>
            <w:r/>
            <w:r>
              <w:rPr>
                <w:rFonts w:ascii="Times New Roman" w:hAnsi="Times New Roman"/>
                <w:i w:val="0"/>
                <w:sz w:val="20"/>
              </w:rPr>
              <w:t>`ST62_r6_frailty_immune_excluded.csv`</w:t>
            </w:r>
          </w:p>
        </w:tc>
      </w:tr>
      <w:tr>
        <w:tc>
          <w:tcPr>
            <w:tcW w:type="dxa" w:w="2160"/>
          </w:tcPr>
          <w:p>
            <w:r/>
            <w:r>
              <w:rPr>
                <w:rFonts w:ascii="Times New Roman" w:hAnsi="Times New Roman"/>
                <w:i w:val="0"/>
                <w:sz w:val="20"/>
              </w:rPr>
              <w:t>ST63</w:t>
            </w:r>
          </w:p>
        </w:tc>
        <w:tc>
          <w:tcPr>
            <w:tcW w:type="dxa" w:w="2160"/>
          </w:tcPr>
          <w:p>
            <w:r/>
            <w:r>
              <w:rPr>
                <w:rFonts w:ascii="Times New Roman" w:hAnsi="Times New Roman"/>
                <w:i w:val="0"/>
                <w:sz w:val="20"/>
              </w:rPr>
              <w:t>Removed immune-locus SNPs</w:t>
            </w:r>
          </w:p>
        </w:tc>
        <w:tc>
          <w:tcPr>
            <w:tcW w:type="dxa" w:w="2160"/>
          </w:tcPr>
          <w:p>
            <w:r/>
            <w:r>
              <w:rPr>
                <w:rFonts w:ascii="Times New Roman" w:hAnsi="Times New Roman"/>
                <w:i w:val="0"/>
                <w:sz w:val="20"/>
              </w:rPr>
              <w:t>Per-SNP list of the 86 excluded instrument variants with the immune locus responsible.</w:t>
            </w:r>
          </w:p>
        </w:tc>
        <w:tc>
          <w:tcPr>
            <w:tcW w:type="dxa" w:w="2160"/>
          </w:tcPr>
          <w:p>
            <w:r/>
            <w:r>
              <w:rPr>
                <w:rFonts w:ascii="Times New Roman" w:hAnsi="Times New Roman"/>
                <w:i w:val="0"/>
                <w:sz w:val="20"/>
              </w:rPr>
              <w:t>`ST63_r6_frailty_immune_excluded_snps.csv`</w:t>
            </w:r>
          </w:p>
        </w:tc>
      </w:tr>
      <w:tr>
        <w:tc>
          <w:tcPr>
            <w:tcW w:type="dxa" w:w="2160"/>
          </w:tcPr>
          <w:p>
            <w:r/>
            <w:r>
              <w:rPr>
                <w:rFonts w:ascii="Times New Roman" w:hAnsi="Times New Roman"/>
                <w:i w:val="0"/>
                <w:sz w:val="20"/>
              </w:rPr>
              <w:t>ST64</w:t>
            </w:r>
          </w:p>
        </w:tc>
        <w:tc>
          <w:tcPr>
            <w:tcW w:type="dxa" w:w="2160"/>
          </w:tcPr>
          <w:p>
            <w:r/>
            <w:r>
              <w:rPr>
                <w:rFonts w:ascii="Times New Roman" w:hAnsi="Times New Roman"/>
                <w:i w:val="0"/>
                <w:sz w:val="20"/>
              </w:rPr>
              <w:t>Joint MVMR: frailty + composite index</w:t>
            </w:r>
          </w:p>
        </w:tc>
        <w:tc>
          <w:tcPr>
            <w:tcW w:type="dxa" w:w="2160"/>
          </w:tcPr>
          <w:p>
            <w:r/>
            <w:r>
              <w:rPr>
                <w:rFonts w:ascii="Times New Roman" w:hAnsi="Times New Roman"/>
                <w:i w:val="0"/>
                <w:sz w:val="20"/>
              </w:rPr>
              <w:t>Mutually adjusted conditional effects of frailty and the haematological type-2 index on all three outcomes.</w:t>
            </w:r>
          </w:p>
        </w:tc>
        <w:tc>
          <w:tcPr>
            <w:tcW w:type="dxa" w:w="2160"/>
          </w:tcPr>
          <w:p>
            <w:r/>
            <w:r>
              <w:rPr>
                <w:rFonts w:ascii="Times New Roman" w:hAnsi="Times New Roman"/>
                <w:i w:val="0"/>
                <w:sz w:val="20"/>
              </w:rPr>
              <w:t>`ST64_r6_mvmr_frailty_vs_index.csv`</w:t>
            </w:r>
          </w:p>
        </w:tc>
      </w:tr>
      <w:tr>
        <w:tc>
          <w:tcPr>
            <w:tcW w:type="dxa" w:w="2160"/>
          </w:tcPr>
          <w:p>
            <w:r/>
            <w:r>
              <w:rPr>
                <w:rFonts w:ascii="Times New Roman" w:hAnsi="Times New Roman"/>
                <w:i w:val="0"/>
                <w:sz w:val="20"/>
              </w:rPr>
              <w:t>ST65</w:t>
            </w:r>
          </w:p>
        </w:tc>
        <w:tc>
          <w:tcPr>
            <w:tcW w:type="dxa" w:w="2160"/>
          </w:tcPr>
          <w:p>
            <w:r/>
            <w:r>
              <w:rPr>
                <w:rFonts w:ascii="Times New Roman" w:hAnsi="Times New Roman"/>
                <w:i w:val="0"/>
                <w:sz w:val="20"/>
              </w:rPr>
              <w:t>Joint-MVMR per-SNP table</w:t>
            </w:r>
          </w:p>
        </w:tc>
        <w:tc>
          <w:tcPr>
            <w:tcW w:type="dxa" w:w="2160"/>
          </w:tcPr>
          <w:p>
            <w:r/>
            <w:r>
              <w:rPr>
                <w:rFonts w:ascii="Times New Roman" w:hAnsi="Times New Roman"/>
                <w:i w:val="0"/>
                <w:sz w:val="20"/>
              </w:rPr>
              <w:t>The 200-SNP union instrument with cross-instrument filled exposure effects and harmonized outcome associations.</w:t>
            </w:r>
          </w:p>
        </w:tc>
        <w:tc>
          <w:tcPr>
            <w:tcW w:type="dxa" w:w="2160"/>
          </w:tcPr>
          <w:p>
            <w:r/>
            <w:r>
              <w:rPr>
                <w:rFonts w:ascii="Times New Roman" w:hAnsi="Times New Roman"/>
                <w:i w:val="0"/>
                <w:sz w:val="20"/>
              </w:rPr>
              <w:t>`ST65_r6_joint_mvmr_snp_table.csv`</w:t>
            </w:r>
          </w:p>
        </w:tc>
      </w:tr>
      <w:tr>
        <w:tc>
          <w:tcPr>
            <w:tcW w:type="dxa" w:w="2160"/>
          </w:tcPr>
          <w:p>
            <w:r/>
            <w:r>
              <w:rPr>
                <w:rFonts w:ascii="Times New Roman" w:hAnsi="Times New Roman"/>
                <w:i w:val="0"/>
                <w:sz w:val="20"/>
              </w:rPr>
              <w:t>ST66</w:t>
            </w:r>
          </w:p>
        </w:tc>
        <w:tc>
          <w:tcPr>
            <w:tcW w:type="dxa" w:w="2160"/>
          </w:tcPr>
          <w:p>
            <w:r/>
            <w:r>
              <w:rPr>
                <w:rFonts w:ascii="Times New Roman" w:hAnsi="Times New Roman"/>
                <w:i w:val="0"/>
                <w:sz w:val="20"/>
              </w:rPr>
              <w:t>5q31 conditional signals</w:t>
            </w:r>
          </w:p>
        </w:tc>
        <w:tc>
          <w:tcPr>
            <w:tcW w:type="dxa" w:w="2160"/>
          </w:tcPr>
          <w:p>
            <w:r/>
            <w:r>
              <w:rPr>
                <w:rFonts w:ascii="Times New Roman" w:hAnsi="Times New Roman"/>
                <w:i w:val="0"/>
                <w:sz w:val="20"/>
              </w:rPr>
              <w:t>Stepwise conditional (COJO-style) signal resolution per FinnGen outcome and per IL4/IL13 cis-eQTL source (1KG EUR LD).</w:t>
            </w:r>
          </w:p>
        </w:tc>
        <w:tc>
          <w:tcPr>
            <w:tcW w:type="dxa" w:w="2160"/>
          </w:tcPr>
          <w:p>
            <w:r/>
            <w:r>
              <w:rPr>
                <w:rFonts w:ascii="Times New Roman" w:hAnsi="Times New Roman"/>
                <w:i w:val="0"/>
                <w:sz w:val="20"/>
              </w:rPr>
              <w:t>`ST66_r6_5q31_conditional_signals.csv`</w:t>
            </w:r>
          </w:p>
        </w:tc>
      </w:tr>
      <w:tr>
        <w:tc>
          <w:tcPr>
            <w:tcW w:type="dxa" w:w="2160"/>
          </w:tcPr>
          <w:p>
            <w:r/>
            <w:r>
              <w:rPr>
                <w:rFonts w:ascii="Times New Roman" w:hAnsi="Times New Roman"/>
                <w:i w:val="0"/>
                <w:sz w:val="20"/>
              </w:rPr>
              <w:t>ST67</w:t>
            </w:r>
          </w:p>
        </w:tc>
        <w:tc>
          <w:tcPr>
            <w:tcW w:type="dxa" w:w="2160"/>
          </w:tcPr>
          <w:p>
            <w:r/>
            <w:r>
              <w:rPr>
                <w:rFonts w:ascii="Times New Roman" w:hAnsi="Times New Roman"/>
                <w:i w:val="0"/>
                <w:sz w:val="20"/>
              </w:rPr>
              <w:t>5q31 per-signal colocalization</w:t>
            </w:r>
          </w:p>
        </w:tc>
        <w:tc>
          <w:tcPr>
            <w:tcW w:type="dxa" w:w="2160"/>
          </w:tcPr>
          <w:p>
            <w:r/>
            <w:r>
              <w:rPr>
                <w:rFonts w:ascii="Times New Roman" w:hAnsi="Times New Roman"/>
                <w:i w:val="0"/>
                <w:sz w:val="20"/>
              </w:rPr>
              <w:t>Wakefield-ABF approximate coloc per GWAS-signal x eQTL-signal pair with shadow masking; matched-pair PP.H4 = 0.921 (atopic dermatitis) and 0.865 (asthma) for the DICE TREG_NAIVE rs6879672 block.</w:t>
            </w:r>
          </w:p>
        </w:tc>
        <w:tc>
          <w:tcPr>
            <w:tcW w:type="dxa" w:w="2160"/>
          </w:tcPr>
          <w:p>
            <w:r/>
            <w:r>
              <w:rPr>
                <w:rFonts w:ascii="Times New Roman" w:hAnsi="Times New Roman"/>
                <w:i w:val="0"/>
                <w:sz w:val="20"/>
              </w:rPr>
              <w:t>`ST67_r6_5q31_persignal_coloc.csv`</w:t>
            </w:r>
          </w:p>
        </w:tc>
      </w:tr>
      <w:tr>
        <w:tc>
          <w:tcPr>
            <w:tcW w:type="dxa" w:w="2160"/>
          </w:tcPr>
          <w:p>
            <w:r/>
            <w:r>
              <w:rPr>
                <w:rFonts w:ascii="Times New Roman" w:hAnsi="Times New Roman"/>
                <w:i w:val="0"/>
                <w:sz w:val="20"/>
              </w:rPr>
              <w:t>ST68</w:t>
            </w:r>
          </w:p>
        </w:tc>
        <w:tc>
          <w:tcPr>
            <w:tcW w:type="dxa" w:w="2160"/>
          </w:tcPr>
          <w:p>
            <w:r/>
            <w:r>
              <w:rPr>
                <w:rFonts w:ascii="Times New Roman" w:hAnsi="Times New Roman"/>
                <w:i w:val="0"/>
                <w:sz w:val="20"/>
              </w:rPr>
              <w:t>5q31 SMR and HEIDI</w:t>
            </w:r>
          </w:p>
        </w:tc>
        <w:tc>
          <w:tcPr>
            <w:tcW w:type="dxa" w:w="2160"/>
          </w:tcPr>
          <w:p>
            <w:r/>
            <w:r>
              <w:rPr>
                <w:rFonts w:ascii="Times New Roman" w:hAnsi="Times New Roman"/>
                <w:i w:val="0"/>
                <w:sz w:val="20"/>
              </w:rPr>
              <w:t>SMR estimates (all protective in direction) and HEIDI tests for IL4 (eQTLGen, DICE TREG_NAIVE) against the three outcomes; HEIDI failures interpreted under the multi-signal architecture.</w:t>
            </w:r>
          </w:p>
        </w:tc>
        <w:tc>
          <w:tcPr>
            <w:tcW w:type="dxa" w:w="2160"/>
          </w:tcPr>
          <w:p>
            <w:r/>
            <w:r>
              <w:rPr>
                <w:rFonts w:ascii="Times New Roman" w:hAnsi="Times New Roman"/>
                <w:i w:val="0"/>
                <w:sz w:val="20"/>
              </w:rPr>
              <w:t>`ST68_r6_5q31_smr_heidi.csv`</w:t>
            </w:r>
          </w:p>
        </w:tc>
      </w:tr>
      <w:tr>
        <w:tc>
          <w:tcPr>
            <w:tcW w:type="dxa" w:w="2160"/>
          </w:tcPr>
          <w:p>
            <w:r/>
            <w:r>
              <w:rPr>
                <w:rFonts w:ascii="Times New Roman" w:hAnsi="Times New Roman"/>
                <w:i w:val="0"/>
                <w:sz w:val="20"/>
              </w:rPr>
              <w:t>ST69</w:t>
            </w:r>
          </w:p>
        </w:tc>
        <w:tc>
          <w:tcPr>
            <w:tcW w:type="dxa" w:w="2160"/>
          </w:tcPr>
          <w:p>
            <w:r/>
            <w:r>
              <w:rPr>
                <w:rFonts w:ascii="Times New Roman" w:hAnsi="Times New Roman"/>
                <w:i w:val="0"/>
                <w:sz w:val="20"/>
              </w:rPr>
              <w:t>rs2070874 allelic-direction cross-check</w:t>
            </w:r>
          </w:p>
        </w:tc>
        <w:tc>
          <w:tcPr>
            <w:tcW w:type="dxa" w:w="2160"/>
          </w:tcPr>
          <w:p>
            <w:r/>
            <w:r>
              <w:rPr>
                <w:rFonts w:ascii="Times New Roman" w:hAnsi="Times New Roman"/>
                <w:i w:val="0"/>
                <w:sz w:val="20"/>
              </w:rPr>
              <w:t>Effect directions of rs2070874 (IL4 -33C&gt;T) across eQTLGen and the three FinnGen outcomes versus the candidate-gene literature.</w:t>
            </w:r>
          </w:p>
        </w:tc>
        <w:tc>
          <w:tcPr>
            <w:tcW w:type="dxa" w:w="2160"/>
          </w:tcPr>
          <w:p>
            <w:r/>
            <w:r>
              <w:rPr>
                <w:rFonts w:ascii="Times New Roman" w:hAnsi="Times New Roman"/>
                <w:i w:val="0"/>
                <w:sz w:val="20"/>
              </w:rPr>
              <w:t>`ST69_r6_5q31_rs2070874_directions.csv`</w:t>
            </w:r>
          </w:p>
        </w:tc>
      </w:tr>
      <w:tr>
        <w:tc>
          <w:tcPr>
            <w:tcW w:type="dxa" w:w="2160"/>
          </w:tcPr>
          <w:p>
            <w:r/>
            <w:r>
              <w:rPr>
                <w:rFonts w:ascii="Times New Roman" w:hAnsi="Times New Roman"/>
                <w:i w:val="0"/>
                <w:sz w:val="20"/>
              </w:rPr>
              <w:t>ST70</w:t>
            </w:r>
          </w:p>
        </w:tc>
        <w:tc>
          <w:tcPr>
            <w:tcW w:type="dxa" w:w="2160"/>
          </w:tcPr>
          <w:p>
            <w:r/>
            <w:r>
              <w:rPr>
                <w:rFonts w:ascii="Times New Roman" w:hAnsi="Times New Roman"/>
                <w:i w:val="0"/>
                <w:sz w:val="20"/>
              </w:rPr>
              <w:t>NHANES index-age correlation</w:t>
            </w:r>
          </w:p>
        </w:tc>
        <w:tc>
          <w:tcPr>
            <w:tcW w:type="dxa" w:w="2160"/>
          </w:tcPr>
          <w:p>
            <w:r/>
            <w:r>
              <w:rPr>
                <w:rFonts w:ascii="Times New Roman" w:hAnsi="Times New Roman"/>
                <w:i w:val="0"/>
                <w:sz w:val="20"/>
              </w:rPr>
              <w:t>Survey-weighted Pearson index-age correlations per cycle (D r = 0.20; J r = 0.24) with Fisher-z pooled estimate (r = 0.22, P = 6.2e-83).</w:t>
            </w:r>
          </w:p>
        </w:tc>
        <w:tc>
          <w:tcPr>
            <w:tcW w:type="dxa" w:w="2160"/>
          </w:tcPr>
          <w:p>
            <w:r/>
            <w:r>
              <w:rPr>
                <w:rFonts w:ascii="Times New Roman" w:hAnsi="Times New Roman"/>
                <w:i w:val="0"/>
                <w:sz w:val="20"/>
              </w:rPr>
              <w:t>`ST70_r6_nhanes_index_age_correlation.csv`</w:t>
            </w:r>
          </w:p>
        </w:tc>
      </w:tr>
      <w:tr>
        <w:tc>
          <w:tcPr>
            <w:tcW w:type="dxa" w:w="2160"/>
          </w:tcPr>
          <w:p>
            <w:r/>
            <w:r>
              <w:rPr>
                <w:rFonts w:ascii="Times New Roman" w:hAnsi="Times New Roman"/>
                <w:i w:val="0"/>
                <w:sz w:val="20"/>
              </w:rPr>
              <w:t>ST71</w:t>
            </w:r>
          </w:p>
        </w:tc>
        <w:tc>
          <w:tcPr>
            <w:tcW w:type="dxa" w:w="2160"/>
          </w:tcPr>
          <w:p>
            <w:r/>
            <w:r>
              <w:rPr>
                <w:rFonts w:ascii="Times New Roman" w:hAnsi="Times New Roman"/>
                <w:i w:val="0"/>
                <w:sz w:val="20"/>
              </w:rPr>
              <w:t>NHANES index by age decade</w:t>
            </w:r>
          </w:p>
        </w:tc>
        <w:tc>
          <w:tcPr>
            <w:tcW w:type="dxa" w:w="2160"/>
          </w:tcPr>
          <w:p>
            <w:r/>
            <w:r>
              <w:rPr>
                <w:rFonts w:ascii="Times New Roman" w:hAnsi="Times New Roman"/>
                <w:i w:val="0"/>
                <w:sz w:val="20"/>
              </w:rPr>
              <w:t>Weighted mean, SD and quartiles of the index by age decade per cycle.</w:t>
            </w:r>
          </w:p>
        </w:tc>
        <w:tc>
          <w:tcPr>
            <w:tcW w:type="dxa" w:w="2160"/>
          </w:tcPr>
          <w:p>
            <w:r/>
            <w:r>
              <w:rPr>
                <w:rFonts w:ascii="Times New Roman" w:hAnsi="Times New Roman"/>
                <w:i w:val="0"/>
                <w:sz w:val="20"/>
              </w:rPr>
              <w:t>`ST71_r6_nhanes_index_by_decade.csv`</w:t>
            </w:r>
          </w:p>
        </w:tc>
      </w:tr>
      <w:tr>
        <w:tc>
          <w:tcPr>
            <w:tcW w:type="dxa" w:w="2160"/>
          </w:tcPr>
          <w:p>
            <w:r/>
            <w:r>
              <w:rPr>
                <w:rFonts w:ascii="Times New Roman" w:hAnsi="Times New Roman"/>
                <w:i w:val="0"/>
                <w:sz w:val="20"/>
              </w:rPr>
              <w:t>ST72</w:t>
            </w:r>
          </w:p>
        </w:tc>
        <w:tc>
          <w:tcPr>
            <w:tcW w:type="dxa" w:w="2160"/>
          </w:tcPr>
          <w:p>
            <w:r/>
            <w:r>
              <w:rPr>
                <w:rFonts w:ascii="Times New Roman" w:hAnsi="Times New Roman"/>
                <w:i w:val="0"/>
                <w:sz w:val="20"/>
              </w:rPr>
              <w:t>NHANES index-CRP association</w:t>
            </w:r>
          </w:p>
        </w:tc>
        <w:tc>
          <w:tcPr>
            <w:tcW w:type="dxa" w:w="2160"/>
          </w:tcPr>
          <w:p>
            <w:r/>
            <w:r>
              <w:rPr>
                <w:rFonts w:ascii="Times New Roman" w:hAnsi="Times New Roman"/>
                <w:i w:val="0"/>
                <w:sz w:val="20"/>
              </w:rPr>
              <w:t>Weighted associations of the index (and the CRP-free sensitivity index) with log1p(CRP) per cycle.</w:t>
            </w:r>
          </w:p>
        </w:tc>
        <w:tc>
          <w:tcPr>
            <w:tcW w:type="dxa" w:w="2160"/>
          </w:tcPr>
          <w:p>
            <w:r/>
            <w:r>
              <w:rPr>
                <w:rFonts w:ascii="Times New Roman" w:hAnsi="Times New Roman"/>
                <w:i w:val="0"/>
                <w:sz w:val="20"/>
              </w:rPr>
              <w:t>`ST72_r6_nhanes_index_crp.csv`</w:t>
            </w:r>
          </w:p>
        </w:tc>
      </w:tr>
      <w:tr>
        <w:tc>
          <w:tcPr>
            <w:tcW w:type="dxa" w:w="2160"/>
          </w:tcPr>
          <w:p>
            <w:r/>
            <w:r>
              <w:rPr>
                <w:rFonts w:ascii="Times New Roman" w:hAnsi="Times New Roman"/>
                <w:i w:val="0"/>
                <w:sz w:val="20"/>
              </w:rPr>
              <w:t>ST73</w:t>
            </w:r>
          </w:p>
        </w:tc>
        <w:tc>
          <w:tcPr>
            <w:tcW w:type="dxa" w:w="2160"/>
          </w:tcPr>
          <w:p>
            <w:r/>
            <w:r>
              <w:rPr>
                <w:rFonts w:ascii="Times New Roman" w:hAnsi="Times New Roman"/>
                <w:i w:val="0"/>
                <w:sz w:val="20"/>
              </w:rPr>
              <w:t>NHANES incremental value over age</w:t>
            </w:r>
          </w:p>
        </w:tc>
        <w:tc>
          <w:tcPr>
            <w:tcW w:type="dxa" w:w="2160"/>
          </w:tcPr>
          <w:p>
            <w:r/>
            <w:r>
              <w:rPr>
                <w:rFonts w:ascii="Times New Roman" w:hAnsi="Times New Roman"/>
                <w:i w:val="0"/>
                <w:sz w:val="20"/>
              </w:rPr>
              <w:t>Wald, pseudo-likelihood-ratio and delta-AIC comparisons of weighted logistic models (age + sex + BMI versus + index) for allergic outcomes.</w:t>
            </w:r>
          </w:p>
        </w:tc>
        <w:tc>
          <w:tcPr>
            <w:tcW w:type="dxa" w:w="2160"/>
          </w:tcPr>
          <w:p>
            <w:r/>
            <w:r>
              <w:rPr>
                <w:rFonts w:ascii="Times New Roman" w:hAnsi="Times New Roman"/>
                <w:i w:val="0"/>
                <w:sz w:val="20"/>
              </w:rPr>
              <w:t>`ST73_r6_nhanes_incremental_value.csv`</w:t>
            </w:r>
          </w:p>
        </w:tc>
      </w:tr>
      <w:tr>
        <w:tc>
          <w:tcPr>
            <w:tcW w:type="dxa" w:w="2160"/>
          </w:tcPr>
          <w:p>
            <w:r/>
            <w:r>
              <w:rPr>
                <w:rFonts w:ascii="Times New Roman" w:hAnsi="Times New Roman"/>
                <w:i w:val="0"/>
                <w:sz w:val="20"/>
              </w:rPr>
              <w:t>ST74</w:t>
            </w:r>
          </w:p>
        </w:tc>
        <w:tc>
          <w:tcPr>
            <w:tcW w:type="dxa" w:w="2160"/>
          </w:tcPr>
          <w:p>
            <w:r/>
            <w:r>
              <w:rPr>
                <w:rFonts w:ascii="Times New Roman" w:hAnsi="Times New Roman"/>
                <w:i w:val="0"/>
                <w:sz w:val="20"/>
              </w:rPr>
              <w:t>On-target safety MR scan summary</w:t>
            </w:r>
          </w:p>
        </w:tc>
        <w:tc>
          <w:tcPr>
            <w:tcW w:type="dxa" w:w="2160"/>
          </w:tcPr>
          <w:p>
            <w:r/>
            <w:r>
              <w:rPr>
                <w:rFonts w:ascii="Times New Roman" w:hAnsi="Times New Roman"/>
                <w:i w:val="0"/>
                <w:sz w:val="20"/>
              </w:rPr>
              <w:t>Wald/IVW estimates for IL18 and TNFSF14 cis-pQTL instruments across ten non-allergic FinnGen R12 endpoints in five safety categories, with BH-FDR.</w:t>
            </w:r>
          </w:p>
        </w:tc>
        <w:tc>
          <w:tcPr>
            <w:tcW w:type="dxa" w:w="2160"/>
          </w:tcPr>
          <w:p>
            <w:r/>
            <w:r>
              <w:rPr>
                <w:rFonts w:ascii="Times New Roman" w:hAnsi="Times New Roman"/>
                <w:i w:val="0"/>
                <w:sz w:val="20"/>
              </w:rPr>
              <w:t>`ST74_r6_phewas_mr_summary.csv`</w:t>
            </w:r>
          </w:p>
        </w:tc>
      </w:tr>
      <w:tr>
        <w:tc>
          <w:tcPr>
            <w:tcW w:type="dxa" w:w="2160"/>
          </w:tcPr>
          <w:p>
            <w:r/>
            <w:r>
              <w:rPr>
                <w:rFonts w:ascii="Times New Roman" w:hAnsi="Times New Roman"/>
                <w:i w:val="0"/>
                <w:sz w:val="20"/>
              </w:rPr>
              <w:t>ST75</w:t>
            </w:r>
          </w:p>
        </w:tc>
        <w:tc>
          <w:tcPr>
            <w:tcW w:type="dxa" w:w="2160"/>
          </w:tcPr>
          <w:p>
            <w:r/>
            <w:r>
              <w:rPr>
                <w:rFonts w:ascii="Times New Roman" w:hAnsi="Times New Roman"/>
                <w:i w:val="0"/>
                <w:sz w:val="20"/>
              </w:rPr>
              <w:t>On-target safety MR scan per-SNP</w:t>
            </w:r>
          </w:p>
        </w:tc>
        <w:tc>
          <w:tcPr>
            <w:tcW w:type="dxa" w:w="2160"/>
          </w:tcPr>
          <w:p>
            <w:r/>
            <w:r>
              <w:rPr>
                <w:rFonts w:ascii="Times New Roman" w:hAnsi="Times New Roman"/>
                <w:i w:val="0"/>
                <w:sz w:val="20"/>
              </w:rPr>
              <w:t>Per-SNP harmonized Wald ratios underlying ST74, with allele-orientation notes.</w:t>
            </w:r>
          </w:p>
        </w:tc>
        <w:tc>
          <w:tcPr>
            <w:tcW w:type="dxa" w:w="2160"/>
          </w:tcPr>
          <w:p>
            <w:r/>
            <w:r>
              <w:rPr>
                <w:rFonts w:ascii="Times New Roman" w:hAnsi="Times New Roman"/>
                <w:i w:val="0"/>
                <w:sz w:val="20"/>
              </w:rPr>
              <w:t>`ST75_r6_phewas_mr_persnp.csv`</w:t>
            </w:r>
          </w:p>
        </w:tc>
      </w:tr>
      <w:tr>
        <w:tc>
          <w:tcPr>
            <w:tcW w:type="dxa" w:w="2160"/>
          </w:tcPr>
          <w:p>
            <w:r/>
            <w:r>
              <w:rPr>
                <w:rFonts w:ascii="Times New Roman" w:hAnsi="Times New Roman"/>
                <w:i w:val="0"/>
                <w:sz w:val="20"/>
              </w:rPr>
              <w:t>ST76</w:t>
            </w:r>
          </w:p>
        </w:tc>
        <w:tc>
          <w:tcPr>
            <w:tcW w:type="dxa" w:w="2160"/>
          </w:tcPr>
          <w:p>
            <w:r/>
            <w:r>
              <w:rPr>
                <w:rFonts w:ascii="Times New Roman" w:hAnsi="Times New Roman"/>
                <w:i w:val="0"/>
                <w:sz w:val="20"/>
              </w:rPr>
              <w:t>LDSC quality control</w:t>
            </w:r>
          </w:p>
        </w:tc>
        <w:tc>
          <w:tcPr>
            <w:tcW w:type="dxa" w:w="2160"/>
          </w:tcPr>
          <w:p>
            <w:r/>
            <w:r>
              <w:rPr>
                <w:rFonts w:ascii="Times New Roman" w:hAnsi="Times New Roman"/>
                <w:i w:val="0"/>
                <w:sz w:val="20"/>
              </w:rPr>
              <w:t>Per-trait LD-merge QC (SNP counts, mean chi2, status flags) for the LD score regression.</w:t>
            </w:r>
          </w:p>
        </w:tc>
        <w:tc>
          <w:tcPr>
            <w:tcW w:type="dxa" w:w="2160"/>
          </w:tcPr>
          <w:p>
            <w:r/>
            <w:r>
              <w:rPr>
                <w:rFonts w:ascii="Times New Roman" w:hAnsi="Times New Roman"/>
                <w:i w:val="0"/>
                <w:sz w:val="20"/>
              </w:rPr>
              <w:t>`ST76_r6_ldsc_qc.csv`</w:t>
            </w:r>
          </w:p>
        </w:tc>
      </w:tr>
      <w:tr>
        <w:tc>
          <w:tcPr>
            <w:tcW w:type="dxa" w:w="2160"/>
          </w:tcPr>
          <w:p>
            <w:r/>
            <w:r>
              <w:rPr>
                <w:rFonts w:ascii="Times New Roman" w:hAnsi="Times New Roman"/>
                <w:i w:val="0"/>
                <w:sz w:val="20"/>
              </w:rPr>
              <w:t>ST77</w:t>
            </w:r>
          </w:p>
        </w:tc>
        <w:tc>
          <w:tcPr>
            <w:tcW w:type="dxa" w:w="2160"/>
          </w:tcPr>
          <w:p>
            <w:r/>
            <w:r>
              <w:rPr>
                <w:rFonts w:ascii="Times New Roman" w:hAnsi="Times New Roman"/>
                <w:i w:val="0"/>
                <w:sz w:val="20"/>
              </w:rPr>
              <w:t>MHC-free frailty rg verification</w:t>
            </w:r>
          </w:p>
        </w:tc>
        <w:tc>
          <w:tcPr>
            <w:tcW w:type="dxa" w:w="2160"/>
          </w:tcPr>
          <w:p>
            <w:r/>
            <w:r>
              <w:rPr>
                <w:rFonts w:ascii="Times New Roman" w:hAnsi="Times New Roman"/>
                <w:i w:val="0"/>
                <w:sz w:val="20"/>
              </w:rPr>
              <w:t>Frailty LDSC h2 and rg versus the three allergic outcomes with the HLA window (chr6:25-34 Mb) explicitly excluded; identical to the main estimates because the HM3 LD reference excludes the MHC region by construction.</w:t>
            </w:r>
          </w:p>
        </w:tc>
        <w:tc>
          <w:tcPr>
            <w:tcW w:type="dxa" w:w="2160"/>
          </w:tcPr>
          <w:p>
            <w:r/>
            <w:r>
              <w:rPr>
                <w:rFonts w:ascii="Times New Roman" w:hAnsi="Times New Roman"/>
                <w:i w:val="0"/>
                <w:sz w:val="20"/>
              </w:rPr>
              <w:t>`ST77_r6_hla_excluded_rg.csv`</w:t>
            </w:r>
          </w:p>
        </w:tc>
      </w:tr>
      <w:tr>
        <w:tc>
          <w:tcPr>
            <w:tcW w:type="dxa" w:w="2160"/>
          </w:tcPr>
          <w:p>
            <w:r/>
            <w:r>
              <w:rPr>
                <w:rFonts w:ascii="Times New Roman" w:hAnsi="Times New Roman"/>
                <w:i w:val="0"/>
                <w:sz w:val="20"/>
              </w:rPr>
              <w:t>ST78</w:t>
            </w:r>
          </w:p>
        </w:tc>
        <w:tc>
          <w:tcPr>
            <w:tcW w:type="dxa" w:w="2160"/>
          </w:tcPr>
          <w:p>
            <w:r/>
            <w:r>
              <w:rPr>
                <w:rFonts w:ascii="Times New Roman" w:hAnsi="Times New Roman"/>
                <w:i w:val="0"/>
                <w:sz w:val="20"/>
              </w:rPr>
              <w:t>Full vs immune-excluded instrument consistency</w:t>
            </w:r>
          </w:p>
        </w:tc>
        <w:tc>
          <w:tcPr>
            <w:tcW w:type="dxa" w:w="2160"/>
          </w:tcPr>
          <w:p>
            <w:r/>
            <w:r>
              <w:rPr>
                <w:rFonts w:ascii="Times New Roman" w:hAnsi="Times New Roman"/>
                <w:i w:val="0"/>
                <w:sz w:val="20"/>
              </w:rPr>
              <w:t>Z-tests on the full-versus-excluded IVW difference per outcome (conservative independence SEs): asthma P = 0.99, atopic dermatitis P = 0.48, rhinitis P = 0.013 (excluded estimate larger).</w:t>
            </w:r>
          </w:p>
        </w:tc>
        <w:tc>
          <w:tcPr>
            <w:tcW w:type="dxa" w:w="2160"/>
          </w:tcPr>
          <w:p>
            <w:r/>
            <w:r>
              <w:rPr>
                <w:rFonts w:ascii="Times New Roman" w:hAnsi="Times New Roman"/>
                <w:i w:val="0"/>
                <w:sz w:val="20"/>
              </w:rPr>
              <w:t>`ST78_r6_instrument_consistency.csv`</w:t>
            </w:r>
          </w:p>
        </w:tc>
      </w:tr>
      <w:tr>
        <w:tc>
          <w:tcPr>
            <w:tcW w:type="dxa" w:w="2160"/>
          </w:tcPr>
          <w:p>
            <w:r/>
            <w:r>
              <w:rPr>
                <w:rFonts w:ascii="Times New Roman" w:hAnsi="Times New Roman"/>
                <w:i w:val="0"/>
                <w:sz w:val="20"/>
              </w:rPr>
              <w:t>ST79</w:t>
            </w:r>
          </w:p>
        </w:tc>
        <w:tc>
          <w:tcPr>
            <w:tcW w:type="dxa" w:w="2160"/>
          </w:tcPr>
          <w:p>
            <w:r/>
            <w:r>
              <w:rPr>
                <w:rFonts w:ascii="Times New Roman" w:hAnsi="Times New Roman"/>
                <w:i w:val="0"/>
                <w:sz w:val="20"/>
              </w:rPr>
              <w:t>LDSC simulation calibration</w:t>
            </w:r>
          </w:p>
        </w:tc>
        <w:tc>
          <w:tcPr>
            <w:tcW w:type="dxa" w:w="2160"/>
          </w:tcPr>
          <w:p>
            <w:r/>
            <w:r>
              <w:rPr>
                <w:rFonts w:ascii="Times New Roman" w:hAnsi="Times New Roman"/>
                <w:i w:val="0"/>
                <w:sz w:val="20"/>
              </w:rPr>
              <w:t>100-replicate simulation on the real LD-score scaffold: univariate h2 and bivariate rg bias, jackknife-SE calibration, 95% coverage and null type-I error.</w:t>
            </w:r>
          </w:p>
        </w:tc>
        <w:tc>
          <w:tcPr>
            <w:tcW w:type="dxa" w:w="2160"/>
          </w:tcPr>
          <w:p>
            <w:r/>
            <w:r>
              <w:rPr>
                <w:rFonts w:ascii="Times New Roman" w:hAnsi="Times New Roman"/>
                <w:i w:val="0"/>
                <w:sz w:val="20"/>
              </w:rPr>
              <w:t>`ST79_r6_ldsc_simulation_calibration.csv`</w:t>
            </w:r>
          </w:p>
        </w:tc>
      </w:tr>
      <w:tr>
        <w:tc>
          <w:tcPr>
            <w:tcW w:type="dxa" w:w="2160"/>
          </w:tcPr>
          <w:p>
            <w:r/>
            <w:r>
              <w:rPr>
                <w:rFonts w:ascii="Times New Roman" w:hAnsi="Times New Roman"/>
                <w:i w:val="0"/>
                <w:sz w:val="20"/>
              </w:rPr>
              <w:t>ST80</w:t>
            </w:r>
          </w:p>
        </w:tc>
        <w:tc>
          <w:tcPr>
            <w:tcW w:type="dxa" w:w="2160"/>
          </w:tcPr>
          <w:p>
            <w:r/>
            <w:r>
              <w:rPr>
                <w:rFonts w:ascii="Times New Roman" w:hAnsi="Times New Roman"/>
                <w:i w:val="0"/>
                <w:sz w:val="20"/>
              </w:rPr>
              <w:t>Phenome-wide MR specificity scan</w:t>
            </w:r>
          </w:p>
        </w:tc>
        <w:tc>
          <w:tcPr>
            <w:tcW w:type="dxa" w:w="2160"/>
          </w:tcPr>
          <w:p>
            <w:r/>
            <w:r>
              <w:rPr>
                <w:rFonts w:ascii="Times New Roman" w:hAnsi="Times New Roman"/>
                <w:i w:val="0"/>
                <w:sz w:val="20"/>
              </w:rPr>
              <w:t>IVW (fixed and random effects), MR-Egger intercept and weighted-median estimates for the frailty instrument and the 93-SNP composite index against 17 FinnGen R12 endpoints (34 tests, 20 FDR &lt; 0.05): index specific to allergic endpoints; frailty broadly pleiotropic and HLA-driven.</w:t>
            </w:r>
          </w:p>
        </w:tc>
        <w:tc>
          <w:tcPr>
            <w:tcW w:type="dxa" w:w="2160"/>
          </w:tcPr>
          <w:p>
            <w:r/>
            <w:r>
              <w:rPr>
                <w:rFonts w:ascii="Times New Roman" w:hAnsi="Times New Roman"/>
                <w:i w:val="0"/>
                <w:sz w:val="20"/>
              </w:rPr>
              <w:t>`ST80_r7_gwas_phewas_mr.csv`</w:t>
            </w:r>
          </w:p>
        </w:tc>
      </w:tr>
      <w:tr>
        <w:tc>
          <w:tcPr>
            <w:tcW w:type="dxa" w:w="2160"/>
          </w:tcPr>
          <w:p>
            <w:r/>
            <w:r>
              <w:rPr>
                <w:rFonts w:ascii="Times New Roman" w:hAnsi="Times New Roman"/>
                <w:i w:val="0"/>
                <w:sz w:val="20"/>
              </w:rPr>
              <w:t>ST81</w:t>
            </w:r>
          </w:p>
        </w:tc>
        <w:tc>
          <w:tcPr>
            <w:tcW w:type="dxa" w:w="2160"/>
          </w:tcPr>
          <w:p>
            <w:r/>
            <w:r>
              <w:rPr>
                <w:rFonts w:ascii="Times New Roman" w:hAnsi="Times New Roman"/>
                <w:i w:val="0"/>
                <w:sz w:val="20"/>
              </w:rPr>
              <w:t>Phenome-wide sensitivity battery</w:t>
            </w:r>
          </w:p>
        </w:tc>
        <w:tc>
          <w:tcPr>
            <w:tcW w:type="dxa" w:w="2160"/>
          </w:tcPr>
          <w:p>
            <w:r/>
            <w:r>
              <w:rPr>
                <w:rFonts w:ascii="Times New Roman" w:hAnsi="Times New Roman"/>
                <w:i w:val="0"/>
                <w:sz w:val="20"/>
              </w:rPr>
              <w:t>MR-PRESSO-style outlier counts, outlier-corrected IVW and leave-one-out maximum influence per exposure x endpoint; index allergy associations robust, extreme frailty autoimmune associations outlier-sensitive.</w:t>
            </w:r>
          </w:p>
        </w:tc>
        <w:tc>
          <w:tcPr>
            <w:tcW w:type="dxa" w:w="2160"/>
          </w:tcPr>
          <w:p>
            <w:r/>
            <w:r>
              <w:rPr>
                <w:rFonts w:ascii="Times New Roman" w:hAnsi="Times New Roman"/>
                <w:i w:val="0"/>
                <w:sz w:val="20"/>
              </w:rPr>
              <w:t>`ST81_r7_gwas_sensitivity.csv`</w:t>
            </w:r>
          </w:p>
        </w:tc>
      </w:tr>
      <w:tr>
        <w:tc>
          <w:tcPr>
            <w:tcW w:type="dxa" w:w="2160"/>
          </w:tcPr>
          <w:p>
            <w:r/>
            <w:r>
              <w:rPr>
                <w:rFonts w:ascii="Times New Roman" w:hAnsi="Times New Roman"/>
                <w:i w:val="0"/>
                <w:sz w:val="20"/>
              </w:rPr>
              <w:t>ST82</w:t>
            </w:r>
          </w:p>
        </w:tc>
        <w:tc>
          <w:tcPr>
            <w:tcW w:type="dxa" w:w="2160"/>
          </w:tcPr>
          <w:p>
            <w:r/>
            <w:r>
              <w:rPr>
                <w:rFonts w:ascii="Times New Roman" w:hAnsi="Times New Roman"/>
                <w:i w:val="0"/>
                <w:sz w:val="20"/>
              </w:rPr>
              <w:t>Phenome-wide per-SNP table</w:t>
            </w:r>
          </w:p>
        </w:tc>
        <w:tc>
          <w:tcPr>
            <w:tcW w:type="dxa" w:w="2160"/>
          </w:tcPr>
          <w:p>
            <w:r/>
            <w:r>
              <w:rPr>
                <w:rFonts w:ascii="Times New Roman" w:hAnsi="Times New Roman"/>
                <w:i w:val="0"/>
                <w:sz w:val="20"/>
              </w:rPr>
              <w:t>Harmonized per-SNP exposure and outcome associations underlying ST80.</w:t>
            </w:r>
          </w:p>
        </w:tc>
        <w:tc>
          <w:tcPr>
            <w:tcW w:type="dxa" w:w="2160"/>
          </w:tcPr>
          <w:p>
            <w:r/>
            <w:r>
              <w:rPr>
                <w:rFonts w:ascii="Times New Roman" w:hAnsi="Times New Roman"/>
                <w:i w:val="0"/>
                <w:sz w:val="20"/>
              </w:rPr>
              <w:t>`ST82_r7_gwas_phewas_snp.csv`</w:t>
            </w:r>
          </w:p>
        </w:tc>
      </w:tr>
      <w:tr>
        <w:tc>
          <w:tcPr>
            <w:tcW w:type="dxa" w:w="2160"/>
          </w:tcPr>
          <w:p>
            <w:r/>
            <w:r>
              <w:rPr>
                <w:rFonts w:ascii="Times New Roman" w:hAnsi="Times New Roman"/>
                <w:i w:val="0"/>
                <w:sz w:val="20"/>
              </w:rPr>
              <w:t>ST83</w:t>
            </w:r>
          </w:p>
        </w:tc>
        <w:tc>
          <w:tcPr>
            <w:tcW w:type="dxa" w:w="2160"/>
          </w:tcPr>
          <w:p>
            <w:r/>
            <w:r>
              <w:rPr>
                <w:rFonts w:ascii="Times New Roman" w:hAnsi="Times New Roman"/>
                <w:i w:val="0"/>
                <w:sz w:val="20"/>
              </w:rPr>
              <w:t>HRS frailty-index Cox (per SD)</w:t>
            </w:r>
          </w:p>
        </w:tc>
        <w:tc>
          <w:tcPr>
            <w:tcW w:type="dxa" w:w="2160"/>
          </w:tcPr>
          <w:p>
            <w:r/>
            <w:r>
              <w:rPr>
                <w:rFonts w:ascii="Times New Roman" w:hAnsi="Times New Roman"/>
                <w:i w:val="0"/>
                <w:sz w:val="20"/>
              </w:rPr>
              <w:t>Per-SD hazard ratios for all-cause mortality and five incident chronic diseases (RAND HRS; adjusted for age, sex and education).</w:t>
            </w:r>
          </w:p>
        </w:tc>
        <w:tc>
          <w:tcPr>
            <w:tcW w:type="dxa" w:w="2160"/>
          </w:tcPr>
          <w:p>
            <w:r/>
            <w:r>
              <w:rPr>
                <w:rFonts w:ascii="Times New Roman" w:hAnsi="Times New Roman"/>
                <w:i w:val="0"/>
                <w:sz w:val="20"/>
              </w:rPr>
              <w:t>`ST83_r7_hrs_cox_perSD.csv`</w:t>
            </w:r>
          </w:p>
        </w:tc>
      </w:tr>
      <w:tr>
        <w:tc>
          <w:tcPr>
            <w:tcW w:type="dxa" w:w="2160"/>
          </w:tcPr>
          <w:p>
            <w:r/>
            <w:r>
              <w:rPr>
                <w:rFonts w:ascii="Times New Roman" w:hAnsi="Times New Roman"/>
                <w:i w:val="0"/>
                <w:sz w:val="20"/>
              </w:rPr>
              <w:t>ST84</w:t>
            </w:r>
          </w:p>
        </w:tc>
        <w:tc>
          <w:tcPr>
            <w:tcW w:type="dxa" w:w="2160"/>
          </w:tcPr>
          <w:p>
            <w:r/>
            <w:r>
              <w:rPr>
                <w:rFonts w:ascii="Times New Roman" w:hAnsi="Times New Roman"/>
                <w:i w:val="0"/>
                <w:sz w:val="20"/>
              </w:rPr>
              <w:t>HRS time-varying Cox</w:t>
            </w:r>
          </w:p>
        </w:tc>
        <w:tc>
          <w:tcPr>
            <w:tcW w:type="dxa" w:w="2160"/>
          </w:tcPr>
          <w:p>
            <w:r/>
            <w:r>
              <w:rPr>
                <w:rFonts w:ascii="Times New Roman" w:hAnsi="Times New Roman"/>
                <w:i w:val="0"/>
                <w:sz w:val="20"/>
              </w:rPr>
              <w:t>Time-varying frailty-index Cox model (267,563 intervals; mortality HR 1.85 per SD).</w:t>
            </w:r>
          </w:p>
        </w:tc>
        <w:tc>
          <w:tcPr>
            <w:tcW w:type="dxa" w:w="2160"/>
          </w:tcPr>
          <w:p>
            <w:r/>
            <w:r>
              <w:rPr>
                <w:rFonts w:ascii="Times New Roman" w:hAnsi="Times New Roman"/>
                <w:i w:val="0"/>
                <w:sz w:val="20"/>
              </w:rPr>
              <w:t>`ST84_r7_hrs_timevarying.csv`</w:t>
            </w:r>
          </w:p>
        </w:tc>
      </w:tr>
      <w:tr>
        <w:tc>
          <w:tcPr>
            <w:tcW w:type="dxa" w:w="2160"/>
          </w:tcPr>
          <w:p>
            <w:r/>
            <w:r>
              <w:rPr>
                <w:rFonts w:ascii="Times New Roman" w:hAnsi="Times New Roman"/>
                <w:i w:val="0"/>
                <w:sz w:val="20"/>
              </w:rPr>
              <w:t>ST85</w:t>
            </w:r>
          </w:p>
        </w:tc>
        <w:tc>
          <w:tcPr>
            <w:tcW w:type="dxa" w:w="2160"/>
          </w:tcPr>
          <w:p>
            <w:r/>
            <w:r>
              <w:rPr>
                <w:rFonts w:ascii="Times New Roman" w:hAnsi="Times New Roman"/>
                <w:i w:val="0"/>
                <w:sz w:val="20"/>
              </w:rPr>
              <w:t>HRS age-stratified Cox</w:t>
            </w:r>
          </w:p>
        </w:tc>
        <w:tc>
          <w:tcPr>
            <w:tcW w:type="dxa" w:w="2160"/>
          </w:tcPr>
          <w:p>
            <w:r/>
            <w:r>
              <w:rPr>
                <w:rFonts w:ascii="Times New Roman" w:hAnsi="Times New Roman"/>
                <w:i w:val="0"/>
                <w:sz w:val="20"/>
              </w:rPr>
              <w:t>Age-band (50-65, 65-80, &gt; 80 y) frailty hazard ratios and the FI x age interaction.</w:t>
            </w:r>
          </w:p>
        </w:tc>
        <w:tc>
          <w:tcPr>
            <w:tcW w:type="dxa" w:w="2160"/>
          </w:tcPr>
          <w:p>
            <w:r/>
            <w:r>
              <w:rPr>
                <w:rFonts w:ascii="Times New Roman" w:hAnsi="Times New Roman"/>
                <w:i w:val="0"/>
                <w:sz w:val="20"/>
              </w:rPr>
              <w:t>`ST85_r7_hrs_age_stratified.csv`</w:t>
            </w:r>
          </w:p>
        </w:tc>
      </w:tr>
      <w:tr>
        <w:tc>
          <w:tcPr>
            <w:tcW w:type="dxa" w:w="2160"/>
          </w:tcPr>
          <w:p>
            <w:r/>
            <w:r>
              <w:rPr>
                <w:rFonts w:ascii="Times New Roman" w:hAnsi="Times New Roman"/>
                <w:i w:val="0"/>
                <w:sz w:val="20"/>
              </w:rPr>
              <w:t>ST86</w:t>
            </w:r>
          </w:p>
        </w:tc>
        <w:tc>
          <w:tcPr>
            <w:tcW w:type="dxa" w:w="2160"/>
          </w:tcPr>
          <w:p>
            <w:r/>
            <w:r>
              <w:rPr>
                <w:rFonts w:ascii="Times New Roman" w:hAnsi="Times New Roman"/>
                <w:i w:val="0"/>
                <w:sz w:val="20"/>
              </w:rPr>
              <w:t>HRS early-warning signals</w:t>
            </w:r>
          </w:p>
        </w:tc>
        <w:tc>
          <w:tcPr>
            <w:tcW w:type="dxa" w:w="2160"/>
          </w:tcPr>
          <w:p>
            <w:r/>
            <w:r>
              <w:rPr>
                <w:rFonts w:ascii="Times New Roman" w:hAnsi="Times New Roman"/>
                <w:i w:val="0"/>
                <w:sz w:val="20"/>
              </w:rPr>
              <w:t>Within-person frailty-index variance and lag-1 autocorrelation in decedents versus survivors (unmatched).</w:t>
            </w:r>
          </w:p>
        </w:tc>
        <w:tc>
          <w:tcPr>
            <w:tcW w:type="dxa" w:w="2160"/>
          </w:tcPr>
          <w:p>
            <w:r/>
            <w:r>
              <w:rPr>
                <w:rFonts w:ascii="Times New Roman" w:hAnsi="Times New Roman"/>
                <w:i w:val="0"/>
                <w:sz w:val="20"/>
              </w:rPr>
              <w:t>`ST86_r7_hrs_ews.csv`</w:t>
            </w:r>
          </w:p>
        </w:tc>
      </w:tr>
      <w:tr>
        <w:tc>
          <w:tcPr>
            <w:tcW w:type="dxa" w:w="2160"/>
          </w:tcPr>
          <w:p>
            <w:r/>
            <w:r>
              <w:rPr>
                <w:rFonts w:ascii="Times New Roman" w:hAnsi="Times New Roman"/>
                <w:i w:val="0"/>
                <w:sz w:val="20"/>
              </w:rPr>
              <w:t>ST87</w:t>
            </w:r>
          </w:p>
        </w:tc>
        <w:tc>
          <w:tcPr>
            <w:tcW w:type="dxa" w:w="2160"/>
          </w:tcPr>
          <w:p>
            <w:r/>
            <w:r>
              <w:rPr>
                <w:rFonts w:ascii="Times New Roman" w:hAnsi="Times New Roman"/>
                <w:i w:val="0"/>
                <w:sz w:val="20"/>
              </w:rPr>
              <w:t>OneK1K coverage audit</w:t>
            </w:r>
          </w:p>
        </w:tc>
        <w:tc>
          <w:tcPr>
            <w:tcW w:type="dxa" w:w="2160"/>
          </w:tcPr>
          <w:p>
            <w:r/>
            <w:r>
              <w:rPr>
                <w:rFonts w:ascii="Times New Roman" w:hAnsi="Times New Roman"/>
                <w:i w:val="0"/>
                <w:sz w:val="20"/>
              </w:rPr>
              <w:t>Per-gene OneK1K cis-eQTL record counts, exact DICE lead-SNP presence and direction concordance (33 gene-cell-type pairs).</w:t>
            </w:r>
          </w:p>
        </w:tc>
        <w:tc>
          <w:tcPr>
            <w:tcW w:type="dxa" w:w="2160"/>
          </w:tcPr>
          <w:p>
            <w:r/>
            <w:r>
              <w:rPr>
                <w:rFonts w:ascii="Times New Roman" w:hAnsi="Times New Roman"/>
                <w:i w:val="0"/>
                <w:sz w:val="20"/>
              </w:rPr>
              <w:t>`ST87_r7_onek1k_coverage.csv`</w:t>
            </w:r>
          </w:p>
        </w:tc>
      </w:tr>
      <w:tr>
        <w:tc>
          <w:tcPr>
            <w:tcW w:type="dxa" w:w="2160"/>
          </w:tcPr>
          <w:p>
            <w:r/>
            <w:r>
              <w:rPr>
                <w:rFonts w:ascii="Times New Roman" w:hAnsi="Times New Roman"/>
                <w:i w:val="0"/>
                <w:sz w:val="20"/>
              </w:rPr>
              <w:t>ST88</w:t>
            </w:r>
          </w:p>
        </w:tc>
        <w:tc>
          <w:tcPr>
            <w:tcW w:type="dxa" w:w="2160"/>
          </w:tcPr>
          <w:p>
            <w:r/>
            <w:r>
              <w:rPr>
                <w:rFonts w:ascii="Times New Roman" w:hAnsi="Times New Roman"/>
                <w:i w:val="0"/>
                <w:sz w:val="20"/>
              </w:rPr>
              <w:t>OneK1K independent cell-type MR</w:t>
            </w:r>
          </w:p>
        </w:tc>
        <w:tc>
          <w:tcPr>
            <w:tcW w:type="dxa" w:w="2160"/>
          </w:tcPr>
          <w:p>
            <w:r/>
            <w:r>
              <w:rPr>
                <w:rFonts w:ascii="Times New Roman" w:hAnsi="Times New Roman"/>
                <w:i w:val="0"/>
                <w:sz w:val="20"/>
              </w:rPr>
              <w:t>Per-gene OneK1K cis lead eSNP Wald-ratio MR against the three outcomes (111 tests, 11 genes; 39 instruments, per-instrument F = 5.1-23.2) with FDR; the two FDR-significant tests with F marginally below 10 (TNF rs2229094, F = 9.5; IL6 rs61480128, F = 10.0) are flagged in the fstat column.</w:t>
            </w:r>
          </w:p>
        </w:tc>
        <w:tc>
          <w:tcPr>
            <w:tcW w:type="dxa" w:w="2160"/>
          </w:tcPr>
          <w:p>
            <w:r/>
            <w:r>
              <w:rPr>
                <w:rFonts w:ascii="Times New Roman" w:hAnsi="Times New Roman"/>
                <w:i w:val="0"/>
                <w:sz w:val="20"/>
              </w:rPr>
              <w:t>`ST88_r7_onek1k_celltype_mr.csv`</w:t>
            </w:r>
          </w:p>
        </w:tc>
      </w:tr>
      <w:tr>
        <w:tc>
          <w:tcPr>
            <w:tcW w:type="dxa" w:w="2160"/>
          </w:tcPr>
          <w:p>
            <w:r/>
            <w:r>
              <w:rPr>
                <w:rFonts w:ascii="Times New Roman" w:hAnsi="Times New Roman"/>
                <w:i w:val="0"/>
                <w:sz w:val="20"/>
              </w:rPr>
              <w:t>ST89</w:t>
            </w:r>
          </w:p>
        </w:tc>
        <w:tc>
          <w:tcPr>
            <w:tcW w:type="dxa" w:w="2160"/>
          </w:tcPr>
          <w:p>
            <w:r/>
            <w:r>
              <w:rPr>
                <w:rFonts w:ascii="Times New Roman" w:hAnsi="Times New Roman"/>
                <w:i w:val="0"/>
                <w:sz w:val="20"/>
              </w:rPr>
              <w:t>Blood-cell-trait decomposition MR</w:t>
            </w:r>
          </w:p>
        </w:tc>
        <w:tc>
          <w:tcPr>
            <w:tcW w:type="dxa" w:w="2160"/>
          </w:tcPr>
          <w:p>
            <w:r/>
            <w:r>
              <w:rPr>
                <w:rFonts w:ascii="Times New Roman" w:hAnsi="Times New Roman"/>
                <w:i w:val="0"/>
                <w:sz w:val="20"/>
              </w:rPr>
              <w:t>Total white-cell and eosinophil-count instruments against the three allergic outcomes.</w:t>
            </w:r>
          </w:p>
        </w:tc>
        <w:tc>
          <w:tcPr>
            <w:tcW w:type="dxa" w:w="2160"/>
          </w:tcPr>
          <w:p>
            <w:r/>
            <w:r>
              <w:rPr>
                <w:rFonts w:ascii="Times New Roman" w:hAnsi="Times New Roman"/>
                <w:i w:val="0"/>
                <w:sz w:val="20"/>
              </w:rPr>
              <w:t>`ST89_r7_bloodtrait_mr.csv`</w:t>
            </w:r>
          </w:p>
        </w:tc>
      </w:tr>
      <w:tr>
        <w:tc>
          <w:tcPr>
            <w:tcW w:type="dxa" w:w="2160"/>
          </w:tcPr>
          <w:p>
            <w:r/>
            <w:r>
              <w:rPr>
                <w:rFonts w:ascii="Times New Roman" w:hAnsi="Times New Roman"/>
                <w:i w:val="0"/>
                <w:sz w:val="20"/>
              </w:rPr>
              <w:t>ST90</w:t>
            </w:r>
          </w:p>
        </w:tc>
        <w:tc>
          <w:tcPr>
            <w:tcW w:type="dxa" w:w="2160"/>
          </w:tcPr>
          <w:p>
            <w:r/>
            <w:r>
              <w:rPr>
                <w:rFonts w:ascii="Times New Roman" w:hAnsi="Times New Roman"/>
                <w:i w:val="0"/>
                <w:sz w:val="20"/>
              </w:rPr>
              <w:t>Single-cell age slopes (module x cell type)</w:t>
            </w:r>
          </w:p>
        </w:tc>
        <w:tc>
          <w:tcPr>
            <w:tcW w:type="dxa" w:w="2160"/>
          </w:tcPr>
          <w:p>
            <w:r/>
            <w:r>
              <w:rPr>
                <w:rFonts w:ascii="Times New Roman" w:hAnsi="Times New Roman"/>
                <w:i w:val="0"/>
                <w:sz w:val="20"/>
              </w:rPr>
              <w:t>Tabula Sapiens 2.0 donor-clustered age slopes for module scores (463 tests, FDR).</w:t>
            </w:r>
          </w:p>
        </w:tc>
        <w:tc>
          <w:tcPr>
            <w:tcW w:type="dxa" w:w="2160"/>
          </w:tcPr>
          <w:p>
            <w:r/>
            <w:r>
              <w:rPr>
                <w:rFonts w:ascii="Times New Roman" w:hAnsi="Times New Roman"/>
                <w:i w:val="0"/>
                <w:sz w:val="20"/>
              </w:rPr>
              <w:t>`ST90_r7_sc_age_module_celltype.csv`</w:t>
            </w:r>
          </w:p>
        </w:tc>
      </w:tr>
      <w:tr>
        <w:tc>
          <w:tcPr>
            <w:tcW w:type="dxa" w:w="2160"/>
          </w:tcPr>
          <w:p>
            <w:r/>
            <w:r>
              <w:rPr>
                <w:rFonts w:ascii="Times New Roman" w:hAnsi="Times New Roman"/>
                <w:i w:val="0"/>
                <w:sz w:val="20"/>
              </w:rPr>
              <w:t>ST91</w:t>
            </w:r>
          </w:p>
        </w:tc>
        <w:tc>
          <w:tcPr>
            <w:tcW w:type="dxa" w:w="2160"/>
          </w:tcPr>
          <w:p>
            <w:r/>
            <w:r>
              <w:rPr>
                <w:rFonts w:ascii="Times New Roman" w:hAnsi="Times New Roman"/>
                <w:i w:val="0"/>
                <w:sz w:val="20"/>
              </w:rPr>
              <w:t>Single-cell age slopes (gene x cell type)</w:t>
            </w:r>
          </w:p>
        </w:tc>
        <w:tc>
          <w:tcPr>
            <w:tcW w:type="dxa" w:w="2160"/>
          </w:tcPr>
          <w:p>
            <w:r/>
            <w:r>
              <w:rPr>
                <w:rFonts w:ascii="Times New Roman" w:hAnsi="Times New Roman"/>
                <w:i w:val="0"/>
                <w:sz w:val="20"/>
              </w:rPr>
              <w:t>Gene-level donor-clustered age slopes (428 tests, FDR).</w:t>
            </w:r>
          </w:p>
        </w:tc>
        <w:tc>
          <w:tcPr>
            <w:tcW w:type="dxa" w:w="2160"/>
          </w:tcPr>
          <w:p>
            <w:r/>
            <w:r>
              <w:rPr>
                <w:rFonts w:ascii="Times New Roman" w:hAnsi="Times New Roman"/>
                <w:i w:val="0"/>
                <w:sz w:val="20"/>
              </w:rPr>
              <w:t>`ST91_r7_sc_age_gene_celltype.csv`</w:t>
            </w:r>
          </w:p>
        </w:tc>
      </w:tr>
      <w:tr>
        <w:tc>
          <w:tcPr>
            <w:tcW w:type="dxa" w:w="2160"/>
          </w:tcPr>
          <w:p>
            <w:r/>
            <w:r>
              <w:rPr>
                <w:rFonts w:ascii="Times New Roman" w:hAnsi="Times New Roman"/>
                <w:i w:val="0"/>
                <w:sz w:val="20"/>
              </w:rPr>
              <w:t>ST92</w:t>
            </w:r>
          </w:p>
        </w:tc>
        <w:tc>
          <w:tcPr>
            <w:tcW w:type="dxa" w:w="2160"/>
          </w:tcPr>
          <w:p>
            <w:r/>
            <w:r>
              <w:rPr>
                <w:rFonts w:ascii="Times New Roman" w:hAnsi="Times New Roman"/>
                <w:i w:val="0"/>
                <w:sz w:val="20"/>
              </w:rPr>
              <w:t>Index compartment anchoring</w:t>
            </w:r>
          </w:p>
        </w:tc>
        <w:tc>
          <w:tcPr>
            <w:tcW w:type="dxa" w:w="2160"/>
          </w:tcPr>
          <w:p>
            <w:r/>
            <w:r>
              <w:rPr>
                <w:rFonts w:ascii="Times New Roman" w:hAnsi="Times New Roman"/>
                <w:i w:val="0"/>
                <w:sz w:val="20"/>
              </w:rPr>
              <w:t>Donor-level regression of blood compartment fractions on age (n = 9 donors; null, underpowered).</w:t>
            </w:r>
          </w:p>
        </w:tc>
        <w:tc>
          <w:tcPr>
            <w:tcW w:type="dxa" w:w="2160"/>
          </w:tcPr>
          <w:p>
            <w:r/>
            <w:r>
              <w:rPr>
                <w:rFonts w:ascii="Times New Roman" w:hAnsi="Times New Roman"/>
                <w:i w:val="0"/>
                <w:sz w:val="20"/>
              </w:rPr>
              <w:t>`ST92_r7_index_celltype_anchoring.csv`</w:t>
            </w:r>
          </w:p>
        </w:tc>
      </w:tr>
      <w:tr>
        <w:tc>
          <w:tcPr>
            <w:tcW w:type="dxa" w:w="2160"/>
          </w:tcPr>
          <w:p>
            <w:r/>
            <w:r>
              <w:rPr>
                <w:rFonts w:ascii="Times New Roman" w:hAnsi="Times New Roman"/>
                <w:i w:val="0"/>
                <w:sz w:val="20"/>
              </w:rPr>
              <w:t>ST93</w:t>
            </w:r>
          </w:p>
        </w:tc>
        <w:tc>
          <w:tcPr>
            <w:tcW w:type="dxa" w:w="2160"/>
          </w:tcPr>
          <w:p>
            <w:r/>
            <w:r>
              <w:rPr>
                <w:rFonts w:ascii="Times New Roman" w:hAnsi="Times New Roman"/>
                <w:i w:val="0"/>
                <w:sz w:val="20"/>
              </w:rPr>
              <w:t>IL18/TNFSF14 cell of origin</w:t>
            </w:r>
          </w:p>
        </w:tc>
        <w:tc>
          <w:tcPr>
            <w:tcW w:type="dxa" w:w="2160"/>
          </w:tcPr>
          <w:p>
            <w:r/>
            <w:r>
              <w:rPr>
                <w:rFonts w:ascii="Times New Roman" w:hAnsi="Times New Roman"/>
                <w:i w:val="0"/>
                <w:sz w:val="20"/>
              </w:rPr>
              <w:t>Detection fraction per annotated cell type per tissue for the nominated and comparator genes.</w:t>
            </w:r>
          </w:p>
        </w:tc>
        <w:tc>
          <w:tcPr>
            <w:tcW w:type="dxa" w:w="2160"/>
          </w:tcPr>
          <w:p>
            <w:r/>
            <w:r>
              <w:rPr>
                <w:rFonts w:ascii="Times New Roman" w:hAnsi="Times New Roman"/>
                <w:i w:val="0"/>
                <w:sz w:val="20"/>
              </w:rPr>
              <w:t>`ST93_r7_target_cell_localization.csv`</w:t>
            </w:r>
          </w:p>
        </w:tc>
      </w:tr>
      <w:tr>
        <w:tc>
          <w:tcPr>
            <w:tcW w:type="dxa" w:w="2160"/>
          </w:tcPr>
          <w:p>
            <w:r/>
            <w:r>
              <w:rPr>
                <w:rFonts w:ascii="Times New Roman" w:hAnsi="Times New Roman"/>
                <w:i w:val="0"/>
                <w:sz w:val="20"/>
              </w:rPr>
              <w:t>ST94</w:t>
            </w:r>
          </w:p>
        </w:tc>
        <w:tc>
          <w:tcPr>
            <w:tcW w:type="dxa" w:w="2160"/>
          </w:tcPr>
          <w:p>
            <w:r/>
            <w:r>
              <w:rPr>
                <w:rFonts w:ascii="Times New Roman" w:hAnsi="Times New Roman"/>
                <w:i w:val="0"/>
                <w:sz w:val="20"/>
              </w:rPr>
              <w:t>Onset-stratified asthma MR</w:t>
            </w:r>
          </w:p>
        </w:tc>
        <w:tc>
          <w:tcPr>
            <w:tcW w:type="dxa" w:w="2160"/>
          </w:tcPr>
          <w:p>
            <w:r/>
            <w:r>
              <w:rPr>
                <w:rFonts w:ascii="Times New Roman" w:hAnsi="Times New Roman"/>
                <w:i w:val="0"/>
                <w:sz w:val="20"/>
              </w:rPr>
              <w:t>Frailty and composite-index IVW, MR-Egger and weighted-median estimates for adult- and childhood-onset asthma.</w:t>
            </w:r>
          </w:p>
        </w:tc>
        <w:tc>
          <w:tcPr>
            <w:tcW w:type="dxa" w:w="2160"/>
          </w:tcPr>
          <w:p>
            <w:r/>
            <w:r>
              <w:rPr>
                <w:rFonts w:ascii="Times New Roman" w:hAnsi="Times New Roman"/>
                <w:i w:val="0"/>
                <w:sz w:val="20"/>
              </w:rPr>
              <w:t>`ST94_r8_onset_mr.csv`</w:t>
            </w:r>
          </w:p>
        </w:tc>
      </w:tr>
      <w:tr>
        <w:tc>
          <w:tcPr>
            <w:tcW w:type="dxa" w:w="2160"/>
          </w:tcPr>
          <w:p>
            <w:r/>
            <w:r>
              <w:rPr>
                <w:rFonts w:ascii="Times New Roman" w:hAnsi="Times New Roman"/>
                <w:i w:val="0"/>
                <w:sz w:val="20"/>
              </w:rPr>
              <w:t>ST95</w:t>
            </w:r>
          </w:p>
        </w:tc>
        <w:tc>
          <w:tcPr>
            <w:tcW w:type="dxa" w:w="2160"/>
          </w:tcPr>
          <w:p>
            <w:r/>
            <w:r>
              <w:rPr>
                <w:rFonts w:ascii="Times New Roman" w:hAnsi="Times New Roman"/>
                <w:i w:val="0"/>
                <w:sz w:val="20"/>
              </w:rPr>
              <w:t>Onset-stratified per-SNP table</w:t>
            </w:r>
          </w:p>
        </w:tc>
        <w:tc>
          <w:tcPr>
            <w:tcW w:type="dxa" w:w="2160"/>
          </w:tcPr>
          <w:p>
            <w:r/>
            <w:r>
              <w:rPr>
                <w:rFonts w:ascii="Times New Roman" w:hAnsi="Times New Roman"/>
                <w:i w:val="0"/>
                <w:sz w:val="20"/>
              </w:rPr>
              <w:t>Harmonized per-SNP exposure and outcome associations underlying ST94.</w:t>
            </w:r>
          </w:p>
        </w:tc>
        <w:tc>
          <w:tcPr>
            <w:tcW w:type="dxa" w:w="2160"/>
          </w:tcPr>
          <w:p>
            <w:r/>
            <w:r>
              <w:rPr>
                <w:rFonts w:ascii="Times New Roman" w:hAnsi="Times New Roman"/>
                <w:i w:val="0"/>
                <w:sz w:val="20"/>
              </w:rPr>
              <w:t>`ST95_r8_onset_mr_snp.csv`</w:t>
            </w:r>
          </w:p>
        </w:tc>
      </w:tr>
      <w:tr>
        <w:tc>
          <w:tcPr>
            <w:tcW w:type="dxa" w:w="2160"/>
          </w:tcPr>
          <w:p>
            <w:r/>
            <w:r>
              <w:rPr>
                <w:rFonts w:ascii="Times New Roman" w:hAnsi="Times New Roman"/>
                <w:i w:val="0"/>
                <w:sz w:val="20"/>
              </w:rPr>
              <w:t>ST96</w:t>
            </w:r>
          </w:p>
        </w:tc>
        <w:tc>
          <w:tcPr>
            <w:tcW w:type="dxa" w:w="2160"/>
          </w:tcPr>
          <w:p>
            <w:r/>
            <w:r>
              <w:rPr>
                <w:rFonts w:ascii="Times New Roman" w:hAnsi="Times New Roman"/>
                <w:i w:val="0"/>
                <w:sz w:val="20"/>
              </w:rPr>
              <w:t>Onset-stratified LDSC heritability</w:t>
            </w:r>
          </w:p>
        </w:tc>
        <w:tc>
          <w:tcPr>
            <w:tcW w:type="dxa" w:w="2160"/>
          </w:tcPr>
          <w:p>
            <w:r/>
            <w:r>
              <w:rPr>
                <w:rFonts w:ascii="Times New Roman" w:hAnsi="Times New Roman"/>
                <w:i w:val="0"/>
                <w:sz w:val="20"/>
              </w:rPr>
              <w:t>SNP heritability of adult- and childhood-onset asthma and the five ageing exposures.</w:t>
            </w:r>
          </w:p>
        </w:tc>
        <w:tc>
          <w:tcPr>
            <w:tcW w:type="dxa" w:w="2160"/>
          </w:tcPr>
          <w:p>
            <w:r/>
            <w:r>
              <w:rPr>
                <w:rFonts w:ascii="Times New Roman" w:hAnsi="Times New Roman"/>
                <w:i w:val="0"/>
                <w:sz w:val="20"/>
              </w:rPr>
              <w:t>`ST96_r8_onset_ldsc_h2.csv`</w:t>
            </w:r>
          </w:p>
        </w:tc>
      </w:tr>
      <w:tr>
        <w:tc>
          <w:tcPr>
            <w:tcW w:type="dxa" w:w="2160"/>
          </w:tcPr>
          <w:p>
            <w:r/>
            <w:r>
              <w:rPr>
                <w:rFonts w:ascii="Times New Roman" w:hAnsi="Times New Roman"/>
                <w:i w:val="0"/>
                <w:sz w:val="20"/>
              </w:rPr>
              <w:t>ST97</w:t>
            </w:r>
          </w:p>
        </w:tc>
        <w:tc>
          <w:tcPr>
            <w:tcW w:type="dxa" w:w="2160"/>
          </w:tcPr>
          <w:p>
            <w:r/>
            <w:r>
              <w:rPr>
                <w:rFonts w:ascii="Times New Roman" w:hAnsi="Times New Roman"/>
                <w:i w:val="0"/>
                <w:sz w:val="20"/>
              </w:rPr>
              <w:t>Onset-stratified LDSC rg</w:t>
            </w:r>
          </w:p>
        </w:tc>
        <w:tc>
          <w:tcPr>
            <w:tcW w:type="dxa" w:w="2160"/>
          </w:tcPr>
          <w:p>
            <w:r/>
            <w:r>
              <w:rPr>
                <w:rFonts w:ascii="Times New Roman" w:hAnsi="Times New Roman"/>
                <w:i w:val="0"/>
                <w:sz w:val="20"/>
              </w:rPr>
              <w:t>Genetic correlations of the five ageing exposures with each onset stratum.</w:t>
            </w:r>
          </w:p>
        </w:tc>
        <w:tc>
          <w:tcPr>
            <w:tcW w:type="dxa" w:w="2160"/>
          </w:tcPr>
          <w:p>
            <w:r/>
            <w:r>
              <w:rPr>
                <w:rFonts w:ascii="Times New Roman" w:hAnsi="Times New Roman"/>
                <w:i w:val="0"/>
                <w:sz w:val="20"/>
              </w:rPr>
              <w:t>`ST97_r8_onset_ldsc_rg.csv`</w:t>
            </w:r>
          </w:p>
        </w:tc>
      </w:tr>
      <w:tr>
        <w:tc>
          <w:tcPr>
            <w:tcW w:type="dxa" w:w="2160"/>
          </w:tcPr>
          <w:p>
            <w:r/>
            <w:r>
              <w:rPr>
                <w:rFonts w:ascii="Times New Roman" w:hAnsi="Times New Roman"/>
                <w:i w:val="0"/>
                <w:sz w:val="20"/>
              </w:rPr>
              <w:t>ST98</w:t>
            </w:r>
          </w:p>
        </w:tc>
        <w:tc>
          <w:tcPr>
            <w:tcW w:type="dxa" w:w="2160"/>
          </w:tcPr>
          <w:p>
            <w:r/>
            <w:r>
              <w:rPr>
                <w:rFonts w:ascii="Times New Roman" w:hAnsi="Times New Roman"/>
                <w:i w:val="0"/>
                <w:sz w:val="20"/>
              </w:rPr>
              <w:t>Adult-versus-childhood rg contrast</w:t>
            </w:r>
          </w:p>
        </w:tc>
        <w:tc>
          <w:tcPr>
            <w:tcW w:type="dxa" w:w="2160"/>
          </w:tcPr>
          <w:p>
            <w:r/>
            <w:r>
              <w:rPr>
                <w:rFonts w:ascii="Times New Roman" w:hAnsi="Times New Roman"/>
                <w:i w:val="0"/>
                <w:sz w:val="20"/>
              </w:rPr>
              <w:t>Z-test on the adult-versus-childhood frailty genetic-correlation difference (z = 5.83).</w:t>
            </w:r>
          </w:p>
        </w:tc>
        <w:tc>
          <w:tcPr>
            <w:tcW w:type="dxa" w:w="2160"/>
          </w:tcPr>
          <w:p>
            <w:r/>
            <w:r>
              <w:rPr>
                <w:rFonts w:ascii="Times New Roman" w:hAnsi="Times New Roman"/>
                <w:i w:val="0"/>
                <w:sz w:val="20"/>
              </w:rPr>
              <w:t>`ST98_r8_onset_rg_contrast.csv`</w:t>
            </w:r>
          </w:p>
        </w:tc>
      </w:tr>
      <w:tr>
        <w:tc>
          <w:tcPr>
            <w:tcW w:type="dxa" w:w="2160"/>
          </w:tcPr>
          <w:p>
            <w:r/>
            <w:r>
              <w:rPr>
                <w:rFonts w:ascii="Times New Roman" w:hAnsi="Times New Roman"/>
                <w:i w:val="0"/>
                <w:sz w:val="20"/>
              </w:rPr>
              <w:t>ST99</w:t>
            </w:r>
          </w:p>
        </w:tc>
        <w:tc>
          <w:tcPr>
            <w:tcW w:type="dxa" w:w="2160"/>
          </w:tcPr>
          <w:p>
            <w:r/>
            <w:r>
              <w:rPr>
                <w:rFonts w:ascii="Times New Roman" w:hAnsi="Times New Roman"/>
                <w:i w:val="0"/>
                <w:sz w:val="20"/>
              </w:rPr>
              <w:t>Molecular mediation MR</w:t>
            </w:r>
          </w:p>
        </w:tc>
        <w:tc>
          <w:tcPr>
            <w:tcW w:type="dxa" w:w="2160"/>
          </w:tcPr>
          <w:p>
            <w:r/>
            <w:r>
              <w:rPr>
                <w:rFonts w:ascii="Times New Roman" w:hAnsi="Times New Roman"/>
                <w:i w:val="0"/>
                <w:sz w:val="20"/>
              </w:rPr>
              <w:t>IL18/TNFSF14 cis-pQTL instruments against 44 inflammatory plasma proteins (90 tests; none FDR-significant).</w:t>
            </w:r>
          </w:p>
        </w:tc>
        <w:tc>
          <w:tcPr>
            <w:tcW w:type="dxa" w:w="2160"/>
          </w:tcPr>
          <w:p>
            <w:r/>
            <w:r>
              <w:rPr>
                <w:rFonts w:ascii="Times New Roman" w:hAnsi="Times New Roman"/>
                <w:i w:val="0"/>
                <w:sz w:val="20"/>
              </w:rPr>
              <w:t>`ST99_r8_mediation_mr.csv`</w:t>
            </w:r>
          </w:p>
        </w:tc>
      </w:tr>
      <w:tr>
        <w:tc>
          <w:tcPr>
            <w:tcW w:type="dxa" w:w="2160"/>
          </w:tcPr>
          <w:p>
            <w:r/>
            <w:r>
              <w:rPr>
                <w:rFonts w:ascii="Times New Roman" w:hAnsi="Times New Roman"/>
                <w:i w:val="0"/>
                <w:sz w:val="20"/>
              </w:rPr>
              <w:t>ST100</w:t>
            </w:r>
          </w:p>
        </w:tc>
        <w:tc>
          <w:tcPr>
            <w:tcW w:type="dxa" w:w="2160"/>
          </w:tcPr>
          <w:p>
            <w:r/>
            <w:r>
              <w:rPr>
                <w:rFonts w:ascii="Times New Roman" w:hAnsi="Times New Roman"/>
                <w:i w:val="0"/>
                <w:sz w:val="20"/>
              </w:rPr>
              <w:t>GTEx tissue-context eQTL</w:t>
            </w:r>
          </w:p>
        </w:tc>
        <w:tc>
          <w:tcPr>
            <w:tcW w:type="dxa" w:w="2160"/>
          </w:tcPr>
          <w:p>
            <w:r/>
            <w:r>
              <w:rPr>
                <w:rFonts w:ascii="Times New Roman" w:hAnsi="Times New Roman"/>
                <w:i w:val="0"/>
                <w:sz w:val="20"/>
              </w:rPr>
              <w:t>Significant cis-eQTL pairs and top variants for 11 type-2/alarmin genes across ten GTEx EUR tissues.</w:t>
            </w:r>
          </w:p>
        </w:tc>
        <w:tc>
          <w:tcPr>
            <w:tcW w:type="dxa" w:w="2160"/>
          </w:tcPr>
          <w:p>
            <w:r/>
            <w:r>
              <w:rPr>
                <w:rFonts w:ascii="Times New Roman" w:hAnsi="Times New Roman"/>
                <w:i w:val="0"/>
                <w:sz w:val="20"/>
              </w:rPr>
              <w:t>`ST100_r8_gtex_context.csv`</w:t>
            </w:r>
          </w:p>
        </w:tc>
      </w:tr>
      <w:tr>
        <w:tc>
          <w:tcPr>
            <w:tcW w:type="dxa" w:w="2160"/>
          </w:tcPr>
          <w:p>
            <w:r/>
            <w:r>
              <w:rPr>
                <w:rFonts w:ascii="Times New Roman" w:hAnsi="Times New Roman"/>
                <w:i w:val="0"/>
                <w:sz w:val="20"/>
              </w:rPr>
              <w:t>ST101</w:t>
            </w:r>
          </w:p>
        </w:tc>
        <w:tc>
          <w:tcPr>
            <w:tcW w:type="dxa" w:w="2160"/>
          </w:tcPr>
          <w:p>
            <w:r/>
            <w:r>
              <w:rPr>
                <w:rFonts w:ascii="Times New Roman" w:hAnsi="Times New Roman"/>
                <w:i w:val="0"/>
                <w:sz w:val="20"/>
              </w:rPr>
              <w:t>Human gene-burden lookup</w:t>
            </w:r>
          </w:p>
        </w:tc>
        <w:tc>
          <w:tcPr>
            <w:tcW w:type="dxa" w:w="2160"/>
          </w:tcPr>
          <w:p>
            <w:r/>
            <w:r>
              <w:rPr>
                <w:rFonts w:ascii="Times New Roman" w:hAnsi="Times New Roman"/>
                <w:i w:val="0"/>
                <w:sz w:val="20"/>
              </w:rPr>
              <w:t>Open Targets / UK Biobank-exome burden evidence for the nominated and comparator type-2 genes.</w:t>
            </w:r>
          </w:p>
        </w:tc>
        <w:tc>
          <w:tcPr>
            <w:tcW w:type="dxa" w:w="2160"/>
          </w:tcPr>
          <w:p>
            <w:r/>
            <w:r>
              <w:rPr>
                <w:rFonts w:ascii="Times New Roman" w:hAnsi="Times New Roman"/>
                <w:i w:val="0"/>
                <w:sz w:val="20"/>
              </w:rPr>
              <w:t>`ST101_r8_gene_burden.csv`</w:t>
            </w:r>
          </w:p>
        </w:tc>
      </w:tr>
      <w:tr>
        <w:tc>
          <w:tcPr>
            <w:tcW w:type="dxa" w:w="2160"/>
          </w:tcPr>
          <w:p>
            <w:r/>
            <w:r>
              <w:rPr>
                <w:rFonts w:ascii="Times New Roman" w:hAnsi="Times New Roman"/>
                <w:i w:val="0"/>
                <w:sz w:val="20"/>
              </w:rPr>
              <w:t>ST102</w:t>
            </w:r>
          </w:p>
        </w:tc>
        <w:tc>
          <w:tcPr>
            <w:tcW w:type="dxa" w:w="2160"/>
          </w:tcPr>
          <w:p>
            <w:r/>
            <w:r>
              <w:rPr>
                <w:rFonts w:ascii="Times New Roman" w:hAnsi="Times New Roman"/>
                <w:i w:val="0"/>
                <w:sz w:val="20"/>
              </w:rPr>
              <w:t>Colocalization prior sensitivity</w:t>
            </w:r>
          </w:p>
        </w:tc>
        <w:tc>
          <w:tcPr>
            <w:tcW w:type="dxa" w:w="2160"/>
          </w:tcPr>
          <w:p>
            <w:r/>
            <w:r>
              <w:rPr>
                <w:rFonts w:ascii="Times New Roman" w:hAnsi="Times New Roman"/>
                <w:i w:val="0"/>
                <w:sz w:val="20"/>
              </w:rPr>
              <w:t>Recomputation of IL4-locus and proteome colocalizations across the p12 and outcome prior-variance grids.</w:t>
            </w:r>
          </w:p>
        </w:tc>
        <w:tc>
          <w:tcPr>
            <w:tcW w:type="dxa" w:w="2160"/>
          </w:tcPr>
          <w:p>
            <w:r/>
            <w:r>
              <w:rPr>
                <w:rFonts w:ascii="Times New Roman" w:hAnsi="Times New Roman"/>
                <w:i w:val="0"/>
                <w:sz w:val="20"/>
              </w:rPr>
              <w:t>`ST102_r9_coloc_prior_sensitivity.csv`</w:t>
            </w:r>
          </w:p>
        </w:tc>
      </w:tr>
      <w:tr>
        <w:tc>
          <w:tcPr>
            <w:tcW w:type="dxa" w:w="2160"/>
          </w:tcPr>
          <w:p>
            <w:r/>
            <w:r>
              <w:rPr>
                <w:rFonts w:ascii="Times New Roman" w:hAnsi="Times New Roman"/>
                <w:i w:val="0"/>
                <w:sz w:val="20"/>
              </w:rPr>
              <w:t>ST103</w:t>
            </w:r>
          </w:p>
        </w:tc>
        <w:tc>
          <w:tcPr>
            <w:tcW w:type="dxa" w:w="2160"/>
          </w:tcPr>
          <w:p>
            <w:r/>
            <w:r>
              <w:rPr>
                <w:rFonts w:ascii="Times New Roman" w:hAnsi="Times New Roman"/>
                <w:i w:val="0"/>
                <w:sz w:val="20"/>
              </w:rPr>
              <w:t>LDSC external benchmark</w:t>
            </w:r>
          </w:p>
        </w:tc>
        <w:tc>
          <w:tcPr>
            <w:tcW w:type="dxa" w:w="2160"/>
          </w:tcPr>
          <w:p>
            <w:r/>
            <w:r>
              <w:rPr>
                <w:rFonts w:ascii="Times New Roman" w:hAnsi="Times New Roman"/>
                <w:i w:val="0"/>
                <w:sz w:val="20"/>
              </w:rPr>
              <w:t>In-house LDSC estimates versus published official-LDSR results on identical GWAS (absolute deltas &lt;= 0.037).</w:t>
            </w:r>
          </w:p>
        </w:tc>
        <w:tc>
          <w:tcPr>
            <w:tcW w:type="dxa" w:w="2160"/>
          </w:tcPr>
          <w:p>
            <w:r/>
            <w:r>
              <w:rPr>
                <w:rFonts w:ascii="Times New Roman" w:hAnsi="Times New Roman"/>
                <w:i w:val="0"/>
                <w:sz w:val="20"/>
              </w:rPr>
              <w:t>`ST103_r9_ldsc_external_benchmark.csv`</w:t>
            </w:r>
          </w:p>
        </w:tc>
      </w:tr>
      <w:tr>
        <w:tc>
          <w:tcPr>
            <w:tcW w:type="dxa" w:w="2160"/>
          </w:tcPr>
          <w:p>
            <w:r/>
            <w:r>
              <w:rPr>
                <w:rFonts w:ascii="Times New Roman" w:hAnsi="Times New Roman"/>
                <w:i w:val="0"/>
                <w:sz w:val="20"/>
              </w:rPr>
              <w:t>ST104</w:t>
            </w:r>
          </w:p>
        </w:tc>
        <w:tc>
          <w:tcPr>
            <w:tcW w:type="dxa" w:w="2160"/>
          </w:tcPr>
          <w:p>
            <w:r/>
            <w:r>
              <w:rPr>
                <w:rFonts w:ascii="Times New Roman" w:hAnsi="Times New Roman"/>
                <w:i w:val="0"/>
                <w:sz w:val="20"/>
              </w:rPr>
              <w:t>HRS component-exclusion Cox</w:t>
            </w:r>
          </w:p>
        </w:tc>
        <w:tc>
          <w:tcPr>
            <w:tcW w:type="dxa" w:w="2160"/>
          </w:tcPr>
          <w:p>
            <w:r/>
            <w:r>
              <w:rPr>
                <w:rFonts w:ascii="Times New Roman" w:hAnsi="Times New Roman"/>
                <w:i w:val="0"/>
                <w:sz w:val="20"/>
              </w:rPr>
              <w:t>Incident-disease Cox refits with the outcome-defining deficit removed (HR shifts &lt;= 4%).</w:t>
            </w:r>
          </w:p>
        </w:tc>
        <w:tc>
          <w:tcPr>
            <w:tcW w:type="dxa" w:w="2160"/>
          </w:tcPr>
          <w:p>
            <w:r/>
            <w:r>
              <w:rPr>
                <w:rFonts w:ascii="Times New Roman" w:hAnsi="Times New Roman"/>
                <w:i w:val="0"/>
                <w:sz w:val="20"/>
              </w:rPr>
              <w:t>`ST104_r9_hrs_component_exclusion.csv`</w:t>
            </w:r>
          </w:p>
        </w:tc>
      </w:tr>
      <w:tr>
        <w:tc>
          <w:tcPr>
            <w:tcW w:type="dxa" w:w="2160"/>
          </w:tcPr>
          <w:p>
            <w:r/>
            <w:r>
              <w:rPr>
                <w:rFonts w:ascii="Times New Roman" w:hAnsi="Times New Roman"/>
                <w:i w:val="0"/>
                <w:sz w:val="20"/>
              </w:rPr>
              <w:t>ST105</w:t>
            </w:r>
          </w:p>
        </w:tc>
        <w:tc>
          <w:tcPr>
            <w:tcW w:type="dxa" w:w="2160"/>
          </w:tcPr>
          <w:p>
            <w:r/>
            <w:r>
              <w:rPr>
                <w:rFonts w:ascii="Times New Roman" w:hAnsi="Times New Roman"/>
                <w:i w:val="0"/>
                <w:sz w:val="20"/>
              </w:rPr>
              <w:t>HRS mean-matched early-warning</w:t>
            </w:r>
          </w:p>
        </w:tc>
        <w:tc>
          <w:tcPr>
            <w:tcW w:type="dxa" w:w="2160"/>
          </w:tcPr>
          <w:p>
            <w:r/>
            <w:r>
              <w:rPr>
                <w:rFonts w:ascii="Times New Roman" w:hAnsi="Times New Roman"/>
                <w:i w:val="0"/>
                <w:sz w:val="20"/>
              </w:rPr>
              <w:t>Early-warning comparisons matched/adjusted for mean FI (variance and autocorrelation persisted).</w:t>
            </w:r>
          </w:p>
        </w:tc>
        <w:tc>
          <w:tcPr>
            <w:tcW w:type="dxa" w:w="2160"/>
          </w:tcPr>
          <w:p>
            <w:r/>
            <w:r>
              <w:rPr>
                <w:rFonts w:ascii="Times New Roman" w:hAnsi="Times New Roman"/>
                <w:i w:val="0"/>
                <w:sz w:val="20"/>
              </w:rPr>
              <w:t>`ST105_r9_hrs_ews_mean_matched.csv`</w:t>
            </w:r>
          </w:p>
        </w:tc>
      </w:tr>
      <w:tr>
        <w:tc>
          <w:tcPr>
            <w:tcW w:type="dxa" w:w="2160"/>
          </w:tcPr>
          <w:p>
            <w:r/>
            <w:r>
              <w:rPr>
                <w:rFonts w:ascii="Times New Roman" w:hAnsi="Times New Roman"/>
                <w:i w:val="0"/>
                <w:sz w:val="20"/>
              </w:rPr>
              <w:t>ST106</w:t>
            </w:r>
          </w:p>
        </w:tc>
        <w:tc>
          <w:tcPr>
            <w:tcW w:type="dxa" w:w="2160"/>
          </w:tcPr>
          <w:p>
            <w:r/>
            <w:r>
              <w:rPr>
                <w:rFonts w:ascii="Times New Roman" w:hAnsi="Times New Roman"/>
                <w:i w:val="0"/>
                <w:sz w:val="20"/>
              </w:rPr>
              <w:t>pQTL cross-cohort/cross-platform replication</w:t>
            </w:r>
          </w:p>
        </w:tc>
        <w:tc>
          <w:tcPr>
            <w:tcW w:type="dxa" w:w="2160"/>
          </w:tcPr>
          <w:p>
            <w:r/>
            <w:r>
              <w:rPr>
                <w:rFonts w:ascii="Times New Roman" w:hAnsi="Times New Roman"/>
                <w:i w:val="0"/>
                <w:sz w:val="20"/>
              </w:rPr>
              <w:t>Same 3-SNP instruments looked up in SCALLOP Olink, Ahola-Olli Luminex, AGES SomaScan and INTERVAL SomaScan.</w:t>
            </w:r>
          </w:p>
        </w:tc>
        <w:tc>
          <w:tcPr>
            <w:tcW w:type="dxa" w:w="2160"/>
          </w:tcPr>
          <w:p>
            <w:r/>
            <w:r>
              <w:rPr>
                <w:rFonts w:ascii="Times New Roman" w:hAnsi="Times New Roman"/>
                <w:i w:val="0"/>
                <w:sz w:val="20"/>
              </w:rPr>
              <w:t>`ST106_r9_pqtl_replication.csv`</w:t>
            </w:r>
          </w:p>
        </w:tc>
      </w:tr>
      <w:tr>
        <w:tc>
          <w:tcPr>
            <w:tcW w:type="dxa" w:w="2160"/>
          </w:tcPr>
          <w:p>
            <w:r/>
            <w:r>
              <w:rPr>
                <w:rFonts w:ascii="Times New Roman" w:hAnsi="Times New Roman"/>
                <w:i w:val="0"/>
                <w:sz w:val="20"/>
              </w:rPr>
              <w:t>ST107</w:t>
            </w:r>
          </w:p>
        </w:tc>
        <w:tc>
          <w:tcPr>
            <w:tcW w:type="dxa" w:w="2160"/>
          </w:tcPr>
          <w:p>
            <w:r/>
            <w:r>
              <w:rPr>
                <w:rFonts w:ascii="Times New Roman" w:hAnsi="Times New Roman"/>
                <w:i w:val="0"/>
                <w:sz w:val="20"/>
              </w:rPr>
              <w:t>BBJ index MR</w:t>
            </w:r>
          </w:p>
        </w:tc>
        <w:tc>
          <w:tcPr>
            <w:tcW w:type="dxa" w:w="2160"/>
          </w:tcPr>
          <w:p>
            <w:r/>
            <w:r>
              <w:rPr>
                <w:rFonts w:ascii="Times New Roman" w:hAnsi="Times New Roman"/>
                <w:i w:val="0"/>
                <w:sz w:val="20"/>
              </w:rPr>
              <w:t>Biobank Japan-rebuilt haematological type-2 index estimates against asthma, rhinitis and atopic dermatitis.</w:t>
            </w:r>
          </w:p>
        </w:tc>
        <w:tc>
          <w:tcPr>
            <w:tcW w:type="dxa" w:w="2160"/>
          </w:tcPr>
          <w:p>
            <w:r/>
            <w:r>
              <w:rPr>
                <w:rFonts w:ascii="Times New Roman" w:hAnsi="Times New Roman"/>
                <w:i w:val="0"/>
                <w:sz w:val="20"/>
              </w:rPr>
              <w:t>`ST107_p2_bbj_index_mr.csv`</w:t>
            </w:r>
          </w:p>
        </w:tc>
      </w:tr>
      <w:tr>
        <w:tc>
          <w:tcPr>
            <w:tcW w:type="dxa" w:w="2160"/>
          </w:tcPr>
          <w:p>
            <w:r/>
            <w:r>
              <w:rPr>
                <w:rFonts w:ascii="Times New Roman" w:hAnsi="Times New Roman"/>
                <w:i w:val="0"/>
                <w:sz w:val="20"/>
              </w:rPr>
              <w:t>ST108</w:t>
            </w:r>
          </w:p>
        </w:tc>
        <w:tc>
          <w:tcPr>
            <w:tcW w:type="dxa" w:w="2160"/>
          </w:tcPr>
          <w:p>
            <w:r/>
            <w:r>
              <w:rPr>
                <w:rFonts w:ascii="Times New Roman" w:hAnsi="Times New Roman"/>
                <w:i w:val="0"/>
                <w:sz w:val="20"/>
              </w:rPr>
              <w:t>BBJ full linear-combination sensitivity</w:t>
            </w:r>
          </w:p>
        </w:tc>
        <w:tc>
          <w:tcPr>
            <w:tcW w:type="dxa" w:w="2160"/>
          </w:tcPr>
          <w:p>
            <w:r/>
            <w:r>
              <w:rPr>
                <w:rFonts w:ascii="Times New Roman" w:hAnsi="Times New Roman"/>
                <w:i w:val="0"/>
                <w:sz w:val="20"/>
              </w:rPr>
              <w:t>Full linear-combination index rebuild sensitivity analysis in Biobank Japan.</w:t>
            </w:r>
          </w:p>
        </w:tc>
        <w:tc>
          <w:tcPr>
            <w:tcW w:type="dxa" w:w="2160"/>
          </w:tcPr>
          <w:p>
            <w:r/>
            <w:r>
              <w:rPr>
                <w:rFonts w:ascii="Times New Roman" w:hAnsi="Times New Roman"/>
                <w:i w:val="0"/>
                <w:sz w:val="20"/>
              </w:rPr>
              <w:t>`ST108_p2_bbj_index_mr_sensitivity.csv`</w:t>
            </w:r>
          </w:p>
        </w:tc>
      </w:tr>
      <w:tr>
        <w:tc>
          <w:tcPr>
            <w:tcW w:type="dxa" w:w="2160"/>
          </w:tcPr>
          <w:p>
            <w:r/>
            <w:r>
              <w:rPr>
                <w:rFonts w:ascii="Times New Roman" w:hAnsi="Times New Roman"/>
                <w:i w:val="0"/>
                <w:sz w:val="20"/>
              </w:rPr>
              <w:t>ST109</w:t>
            </w:r>
          </w:p>
        </w:tc>
        <w:tc>
          <w:tcPr>
            <w:tcW w:type="dxa" w:w="2160"/>
          </w:tcPr>
          <w:p>
            <w:r/>
            <w:r>
              <w:rPr>
                <w:rFonts w:ascii="Times New Roman" w:hAnsi="Times New Roman"/>
                <w:i w:val="0"/>
                <w:sz w:val="20"/>
              </w:rPr>
              <w:t>BBJ component-level MR</w:t>
            </w:r>
          </w:p>
        </w:tc>
        <w:tc>
          <w:tcPr>
            <w:tcW w:type="dxa" w:w="2160"/>
          </w:tcPr>
          <w:p>
            <w:r/>
            <w:r>
              <w:rPr>
                <w:rFonts w:ascii="Times New Roman" w:hAnsi="Times New Roman"/>
                <w:i w:val="0"/>
                <w:sz w:val="20"/>
              </w:rPr>
              <w:t>Component-level (six blood-trait) MR against the three East-Asian endpoints.</w:t>
            </w:r>
          </w:p>
        </w:tc>
        <w:tc>
          <w:tcPr>
            <w:tcW w:type="dxa" w:w="2160"/>
          </w:tcPr>
          <w:p>
            <w:r/>
            <w:r>
              <w:rPr>
                <w:rFonts w:ascii="Times New Roman" w:hAnsi="Times New Roman"/>
                <w:i w:val="0"/>
                <w:sz w:val="20"/>
              </w:rPr>
              <w:t>`ST109_p2_bbj_component_mr.csv`</w:t>
            </w:r>
          </w:p>
        </w:tc>
      </w:tr>
      <w:tr>
        <w:tc>
          <w:tcPr>
            <w:tcW w:type="dxa" w:w="2160"/>
          </w:tcPr>
          <w:p>
            <w:r/>
            <w:r>
              <w:rPr>
                <w:rFonts w:ascii="Times New Roman" w:hAnsi="Times New Roman"/>
                <w:i w:val="0"/>
                <w:sz w:val="20"/>
              </w:rPr>
              <w:t>ST110</w:t>
            </w:r>
          </w:p>
        </w:tc>
        <w:tc>
          <w:tcPr>
            <w:tcW w:type="dxa" w:w="2160"/>
          </w:tcPr>
          <w:p>
            <w:r/>
            <w:r>
              <w:rPr>
                <w:rFonts w:ascii="Times New Roman" w:hAnsi="Times New Roman"/>
                <w:i w:val="0"/>
                <w:sz w:val="20"/>
              </w:rPr>
              <w:t>BBJ per-SNP sign concordance</w:t>
            </w:r>
          </w:p>
        </w:tc>
        <w:tc>
          <w:tcPr>
            <w:tcW w:type="dxa" w:w="2160"/>
          </w:tcPr>
          <w:p>
            <w:r/>
            <w:r>
              <w:rPr>
                <w:rFonts w:ascii="Times New Roman" w:hAnsi="Times New Roman"/>
                <w:i w:val="0"/>
                <w:sz w:val="20"/>
              </w:rPr>
              <w:t>Per-endpoint per-SNP direction concordance with FinnGen.</w:t>
            </w:r>
          </w:p>
        </w:tc>
        <w:tc>
          <w:tcPr>
            <w:tcW w:type="dxa" w:w="2160"/>
          </w:tcPr>
          <w:p>
            <w:r/>
            <w:r>
              <w:rPr>
                <w:rFonts w:ascii="Times New Roman" w:hAnsi="Times New Roman"/>
                <w:i w:val="0"/>
                <w:sz w:val="20"/>
              </w:rPr>
              <w:t>`ST110_p2_bbj_sign_concordance.csv`</w:t>
            </w:r>
          </w:p>
        </w:tc>
      </w:tr>
      <w:tr>
        <w:tc>
          <w:tcPr>
            <w:tcW w:type="dxa" w:w="2160"/>
          </w:tcPr>
          <w:p>
            <w:r/>
            <w:r>
              <w:rPr>
                <w:rFonts w:ascii="Times New Roman" w:hAnsi="Times New Roman"/>
                <w:i w:val="0"/>
                <w:sz w:val="20"/>
              </w:rPr>
              <w:t>ST111</w:t>
            </w:r>
          </w:p>
        </w:tc>
        <w:tc>
          <w:tcPr>
            <w:tcW w:type="dxa" w:w="2160"/>
          </w:tcPr>
          <w:p>
            <w:r/>
            <w:r>
              <w:rPr>
                <w:rFonts w:ascii="Times New Roman" w:hAnsi="Times New Roman"/>
                <w:i w:val="0"/>
                <w:sz w:val="20"/>
              </w:rPr>
              <w:t>BBJ SNP alignment audit</w:t>
            </w:r>
          </w:p>
        </w:tc>
        <w:tc>
          <w:tcPr>
            <w:tcW w:type="dxa" w:w="2160"/>
          </w:tcPr>
          <w:p>
            <w:r/>
            <w:r>
              <w:rPr>
                <w:rFonts w:ascii="Times New Roman" w:hAnsi="Times New Roman"/>
                <w:i w:val="0"/>
                <w:sz w:val="20"/>
              </w:rPr>
              <w:t>Per-SNP alignment, effect-allele orientation and harmonization audit for the 101 candidate index SNPs.</w:t>
            </w:r>
          </w:p>
        </w:tc>
        <w:tc>
          <w:tcPr>
            <w:tcW w:type="dxa" w:w="2160"/>
          </w:tcPr>
          <w:p>
            <w:r/>
            <w:r>
              <w:rPr>
                <w:rFonts w:ascii="Times New Roman" w:hAnsi="Times New Roman"/>
                <w:i w:val="0"/>
                <w:sz w:val="20"/>
              </w:rPr>
              <w:t>`ST111_p2_bbj_alignment.tsv`</w:t>
            </w:r>
          </w:p>
        </w:tc>
      </w:tr>
      <w:tr>
        <w:tc>
          <w:tcPr>
            <w:tcW w:type="dxa" w:w="2160"/>
          </w:tcPr>
          <w:p>
            <w:r/>
            <w:r>
              <w:rPr>
                <w:rFonts w:ascii="Times New Roman" w:hAnsi="Times New Roman"/>
                <w:i w:val="0"/>
                <w:sz w:val="20"/>
              </w:rPr>
              <w:t>ST112</w:t>
            </w:r>
          </w:p>
        </w:tc>
        <w:tc>
          <w:tcPr>
            <w:tcW w:type="dxa" w:w="2160"/>
          </w:tcPr>
          <w:p>
            <w:r/>
            <w:r>
              <w:rPr>
                <w:rFonts w:ascii="Times New Roman" w:hAnsi="Times New Roman"/>
                <w:i w:val="0"/>
                <w:sz w:val="20"/>
              </w:rPr>
              <w:t>Incident-allergy cohort synthetic validation</w:t>
            </w:r>
          </w:p>
        </w:tc>
        <w:tc>
          <w:tcPr>
            <w:tcW w:type="dxa" w:w="2160"/>
          </w:tcPr>
          <w:p>
            <w:r/>
            <w:r>
              <w:rPr>
                <w:rFonts w:ascii="Times New Roman" w:hAnsi="Times New Roman"/>
                <w:b/>
                <w:i w:val="0"/>
                <w:sz w:val="20"/>
              </w:rPr>
              <w:t>SYNTHETIC (simulated, not empirical):</w:t>
            </w:r>
            <w:r>
              <w:rPr>
                <w:rFonts w:ascii="Times New Roman" w:hAnsi="Times New Roman"/>
                <w:i w:val="0"/>
                <w:sz w:val="20"/>
              </w:rPr>
              <w:t xml:space="preserve"> validation of the pre-specified incident-allergy Cox/competing-risk engine on data with a known true per-SD HR of 1.30 (fitted 1.318); no participant data.</w:t>
            </w:r>
          </w:p>
        </w:tc>
        <w:tc>
          <w:tcPr>
            <w:tcW w:type="dxa" w:w="2160"/>
          </w:tcPr>
          <w:p>
            <w:r/>
            <w:r>
              <w:rPr>
                <w:rFonts w:ascii="Times New Roman" w:hAnsi="Times New Roman"/>
                <w:i w:val="0"/>
                <w:sz w:val="20"/>
              </w:rPr>
              <w:t>`ST112_incident_allergy_synthetic_validation.csv`</w:t>
            </w:r>
          </w:p>
        </w:tc>
      </w:tr>
      <w:tr>
        <w:tc>
          <w:tcPr>
            <w:tcW w:type="dxa" w:w="2160"/>
          </w:tcPr>
          <w:p>
            <w:r/>
            <w:r>
              <w:rPr>
                <w:rFonts w:ascii="Times New Roman" w:hAnsi="Times New Roman"/>
                <w:i w:val="0"/>
                <w:sz w:val="20"/>
              </w:rPr>
              <w:t>ST113</w:t>
            </w:r>
          </w:p>
        </w:tc>
        <w:tc>
          <w:tcPr>
            <w:tcW w:type="dxa" w:w="2160"/>
          </w:tcPr>
          <w:p>
            <w:r/>
            <w:r>
              <w:rPr>
                <w:rFonts w:ascii="Times New Roman" w:hAnsi="Times New Roman"/>
                <w:i w:val="0"/>
                <w:sz w:val="20"/>
              </w:rPr>
              <w:t>TNFSF14 multiplatform sensitivity</w:t>
            </w:r>
          </w:p>
        </w:tc>
        <w:tc>
          <w:tcPr>
            <w:tcW w:type="dxa" w:w="2160"/>
          </w:tcPr>
          <w:p>
            <w:r/>
            <w:r>
              <w:rPr>
                <w:rFonts w:ascii="Times New Roman" w:hAnsi="Times New Roman"/>
                <w:i w:val="0"/>
                <w:sz w:val="20"/>
              </w:rPr>
              <w:t>Per-SNP leave-one-out and inverse-variance weight-dominance analysis of the TNFSF14 AGES-SomaScan replication.</w:t>
            </w:r>
          </w:p>
        </w:tc>
        <w:tc>
          <w:tcPr>
            <w:tcW w:type="dxa" w:w="2160"/>
          </w:tcPr>
          <w:p>
            <w:r/>
            <w:r>
              <w:rPr>
                <w:rFonts w:ascii="Times New Roman" w:hAnsi="Times New Roman"/>
                <w:i w:val="0"/>
                <w:sz w:val="20"/>
              </w:rPr>
              <w:t>`ST113_tnfsf14_multiplatform_sensitivity.csv`</w:t>
            </w:r>
          </w:p>
        </w:tc>
      </w:tr>
      <w:tr>
        <w:tc>
          <w:tcPr>
            <w:tcW w:type="dxa" w:w="2160"/>
          </w:tcPr>
          <w:p>
            <w:r/>
            <w:r>
              <w:rPr>
                <w:rFonts w:ascii="Times New Roman" w:hAnsi="Times New Roman"/>
                <w:i w:val="0"/>
                <w:sz w:val="20"/>
              </w:rPr>
              <w:t>ST114</w:t>
            </w:r>
          </w:p>
        </w:tc>
        <w:tc>
          <w:tcPr>
            <w:tcW w:type="dxa" w:w="2160"/>
          </w:tcPr>
          <w:p>
            <w:r/>
            <w:r>
              <w:rPr>
                <w:rFonts w:ascii="Times New Roman" w:hAnsi="Times New Roman"/>
                <w:i w:val="0"/>
                <w:sz w:val="20"/>
              </w:rPr>
              <w:t>IL4 independent OneK1K check</w:t>
            </w:r>
          </w:p>
        </w:tc>
        <w:tc>
          <w:tcPr>
            <w:tcW w:type="dxa" w:w="2160"/>
          </w:tcPr>
          <w:p>
            <w:r/>
            <w:r>
              <w:rPr>
                <w:rFonts w:ascii="Times New Roman" w:hAnsi="Times New Roman"/>
                <w:i w:val="0"/>
                <w:sz w:val="20"/>
              </w:rPr>
              <w:t>OneK1K cis-eQTL check of the DICE TREG-NAIVE IL4 signal (six tests).</w:t>
            </w:r>
          </w:p>
        </w:tc>
        <w:tc>
          <w:tcPr>
            <w:tcW w:type="dxa" w:w="2160"/>
          </w:tcPr>
          <w:p>
            <w:r/>
            <w:r>
              <w:rPr>
                <w:rFonts w:ascii="Times New Roman" w:hAnsi="Times New Roman"/>
                <w:i w:val="0"/>
                <w:sz w:val="20"/>
              </w:rPr>
              <w:t>`ST114_il4_independent_onek1k_check.csv`</w:t>
            </w:r>
          </w:p>
        </w:tc>
      </w:tr>
      <w:tr>
        <w:tc>
          <w:tcPr>
            <w:tcW w:type="dxa" w:w="2160"/>
          </w:tcPr>
          <w:p>
            <w:r/>
            <w:r>
              <w:rPr>
                <w:rFonts w:ascii="Times New Roman" w:hAnsi="Times New Roman"/>
                <w:i w:val="0"/>
                <w:sz w:val="20"/>
              </w:rPr>
              <w:t>ST115</w:t>
            </w:r>
          </w:p>
        </w:tc>
        <w:tc>
          <w:tcPr>
            <w:tcW w:type="dxa" w:w="2160"/>
          </w:tcPr>
          <w:p>
            <w:r/>
            <w:r>
              <w:rPr>
                <w:rFonts w:ascii="Times New Roman" w:hAnsi="Times New Roman"/>
                <w:i w:val="0"/>
                <w:sz w:val="20"/>
              </w:rPr>
              <w:t>IL4 independent validation search</w:t>
            </w:r>
          </w:p>
        </w:tc>
        <w:tc>
          <w:tcPr>
            <w:tcW w:type="dxa" w:w="2160"/>
          </w:tcPr>
          <w:p>
            <w:r/>
            <w:r>
              <w:rPr>
                <w:rFonts w:ascii="Times New Roman" w:hAnsi="Times New Roman"/>
                <w:i w:val="0"/>
                <w:sz w:val="20"/>
              </w:rPr>
              <w:t>Systematic independent eQTL-resource search for IL4 cis-regulation.</w:t>
            </w:r>
          </w:p>
        </w:tc>
        <w:tc>
          <w:tcPr>
            <w:tcW w:type="dxa" w:w="2160"/>
          </w:tcPr>
          <w:p>
            <w:r/>
            <w:r>
              <w:rPr>
                <w:rFonts w:ascii="Times New Roman" w:hAnsi="Times New Roman"/>
                <w:i w:val="0"/>
                <w:sz w:val="20"/>
              </w:rPr>
              <w:t>`ST115_il4_independent_validation_search.csv`</w:t>
            </w:r>
          </w:p>
        </w:tc>
      </w:tr>
      <w:tr>
        <w:tc>
          <w:tcPr>
            <w:tcW w:type="dxa" w:w="2160"/>
          </w:tcPr>
          <w:p>
            <w:r/>
            <w:r>
              <w:rPr>
                <w:rFonts w:ascii="Times New Roman" w:hAnsi="Times New Roman"/>
                <w:i w:val="0"/>
                <w:sz w:val="20"/>
              </w:rPr>
              <w:t>ST116</w:t>
            </w:r>
          </w:p>
        </w:tc>
        <w:tc>
          <w:tcPr>
            <w:tcW w:type="dxa" w:w="2160"/>
          </w:tcPr>
          <w:p>
            <w:r/>
            <w:r>
              <w:rPr>
                <w:rFonts w:ascii="Times New Roman" w:hAnsi="Times New Roman"/>
                <w:i w:val="0"/>
                <w:sz w:val="20"/>
              </w:rPr>
              <w:t>Immune-atlas Treg IL4 and ageing</w:t>
            </w:r>
          </w:p>
        </w:tc>
        <w:tc>
          <w:tcPr>
            <w:tcW w:type="dxa" w:w="2160"/>
          </w:tcPr>
          <w:p>
            <w:r/>
            <w:r>
              <w:rPr>
                <w:rFonts w:ascii="Times New Roman" w:hAnsi="Times New Roman"/>
                <w:i w:val="0"/>
                <w:sz w:val="20"/>
              </w:rPr>
              <w:t>Tabula Sapiens 2.0 Immune atlas: Treg detection fractions and donor-age associations (24 donors).</w:t>
            </w:r>
          </w:p>
        </w:tc>
        <w:tc>
          <w:tcPr>
            <w:tcW w:type="dxa" w:w="2160"/>
          </w:tcPr>
          <w:p>
            <w:r/>
            <w:r>
              <w:rPr>
                <w:rFonts w:ascii="Times New Roman" w:hAnsi="Times New Roman"/>
                <w:i w:val="0"/>
                <w:sz w:val="20"/>
              </w:rPr>
              <w:t>`ST116_immune_treg_il4_age.csv`</w:t>
            </w:r>
          </w:p>
        </w:tc>
      </w:tr>
      <w:tr>
        <w:tc>
          <w:tcPr>
            <w:tcW w:type="dxa" w:w="2160"/>
          </w:tcPr>
          <w:p>
            <w:r/>
            <w:r>
              <w:rPr>
                <w:rFonts w:ascii="Times New Roman" w:hAnsi="Times New Roman"/>
                <w:i w:val="0"/>
                <w:sz w:val="20"/>
              </w:rPr>
              <w:t>ST116b</w:t>
            </w:r>
          </w:p>
        </w:tc>
        <w:tc>
          <w:tcPr>
            <w:tcW w:type="dxa" w:w="2160"/>
          </w:tcPr>
          <w:p>
            <w:r/>
            <w:r>
              <w:rPr>
                <w:rFonts w:ascii="Times New Roman" w:hAnsi="Times New Roman"/>
                <w:i w:val="0"/>
                <w:sz w:val="20"/>
              </w:rPr>
              <w:t>Immune-atlas per-donor detail</w:t>
            </w:r>
          </w:p>
        </w:tc>
        <w:tc>
          <w:tcPr>
            <w:tcW w:type="dxa" w:w="2160"/>
          </w:tcPr>
          <w:p>
            <w:r/>
            <w:r>
              <w:rPr>
                <w:rFonts w:ascii="Times New Roman" w:hAnsi="Times New Roman"/>
                <w:i w:val="0"/>
                <w:sz w:val="20"/>
              </w:rPr>
              <w:t>Per-donor detection fractions accompanying ST116.</w:t>
            </w:r>
          </w:p>
        </w:tc>
        <w:tc>
          <w:tcPr>
            <w:tcW w:type="dxa" w:w="2160"/>
          </w:tcPr>
          <w:p>
            <w:r/>
            <w:r>
              <w:rPr>
                <w:rFonts w:ascii="Times New Roman" w:hAnsi="Times New Roman"/>
                <w:i w:val="0"/>
                <w:sz w:val="20"/>
              </w:rPr>
              <w:t>`ST116b_immune_treg_il4_per_donor.csv`</w:t>
            </w:r>
          </w:p>
        </w:tc>
      </w:tr>
      <w:tr>
        <w:tc>
          <w:tcPr>
            <w:tcW w:type="dxa" w:w="2160"/>
          </w:tcPr>
          <w:p>
            <w:r/>
            <w:r>
              <w:rPr>
                <w:rFonts w:ascii="Times New Roman" w:hAnsi="Times New Roman"/>
                <w:i w:val="0"/>
                <w:sz w:val="20"/>
              </w:rPr>
              <w:t>ST117</w:t>
            </w:r>
          </w:p>
        </w:tc>
        <w:tc>
          <w:tcPr>
            <w:tcW w:type="dxa" w:w="2160"/>
          </w:tcPr>
          <w:p>
            <w:r/>
            <w:r>
              <w:rPr>
                <w:rFonts w:ascii="Times New Roman" w:hAnsi="Times New Roman"/>
                <w:i w:val="0"/>
                <w:sz w:val="20"/>
              </w:rPr>
              <w:t>Epigenetic-clock validity (GSE40279)</w:t>
            </w:r>
          </w:p>
        </w:tc>
        <w:tc>
          <w:tcPr>
            <w:tcW w:type="dxa" w:w="2160"/>
          </w:tcPr>
          <w:p>
            <w:r/>
            <w:r>
              <w:rPr>
                <w:rFonts w:ascii="Times New Roman" w:hAnsi="Times New Roman"/>
                <w:i w:val="0"/>
                <w:sz w:val="20"/>
              </w:rPr>
              <w:t>Horvath, Hannum and PhenoAge concordance with chronological age (n = 656).</w:t>
            </w:r>
          </w:p>
        </w:tc>
        <w:tc>
          <w:tcPr>
            <w:tcW w:type="dxa" w:w="2160"/>
          </w:tcPr>
          <w:p>
            <w:r/>
            <w:r>
              <w:rPr>
                <w:rFonts w:ascii="Times New Roman" w:hAnsi="Times New Roman"/>
                <w:i w:val="0"/>
                <w:sz w:val="20"/>
              </w:rPr>
              <w:t>`ST117_epigenetic_clock_validity_gse40279.csv`</w:t>
            </w:r>
          </w:p>
        </w:tc>
      </w:tr>
      <w:tr>
        <w:tc>
          <w:tcPr>
            <w:tcW w:type="dxa" w:w="2160"/>
          </w:tcPr>
          <w:p>
            <w:r/>
            <w:r>
              <w:rPr>
                <w:rFonts w:ascii="Times New Roman" w:hAnsi="Times New Roman"/>
                <w:i w:val="0"/>
                <w:sz w:val="20"/>
              </w:rPr>
              <w:t>ST118</w:t>
            </w:r>
          </w:p>
        </w:tc>
        <w:tc>
          <w:tcPr>
            <w:tcW w:type="dxa" w:w="2160"/>
          </w:tcPr>
          <w:p>
            <w:r/>
            <w:r>
              <w:rPr>
                <w:rFonts w:ascii="Times New Roman" w:hAnsi="Times New Roman"/>
                <w:i w:val="0"/>
                <w:sz w:val="20"/>
              </w:rPr>
              <w:t>Onset-stratified asthma heritability/power report</w:t>
            </w:r>
          </w:p>
        </w:tc>
        <w:tc>
          <w:tcPr>
            <w:tcW w:type="dxa" w:w="2160"/>
          </w:tcPr>
          <w:p>
            <w:r/>
            <w:r>
              <w:rPr>
                <w:rFonts w:ascii="Times New Roman" w:hAnsi="Times New Roman"/>
                <w:i w:val="0"/>
                <w:sz w:val="20"/>
              </w:rPr>
              <w:t>SNP-heritability and power report for the Ferreira 2019 adult- versus childhood-onset asthma strata: childhood h2 z 6.88 versus adult 11.41 and childhood h2 in fact higher (0.0669 vs 0.0392), so the adult-onset rg preference (frailty rg 0.487 vs 0.209) is not attributable to an underpowered childhood stratum.</w:t>
            </w:r>
          </w:p>
        </w:tc>
        <w:tc>
          <w:tcPr>
            <w:tcW w:type="dxa" w:w="2160"/>
          </w:tcPr>
          <w:p>
            <w:r/>
            <w:r>
              <w:rPr>
                <w:rFonts w:ascii="Times New Roman" w:hAnsi="Times New Roman"/>
                <w:i w:val="0"/>
                <w:sz w:val="20"/>
              </w:rPr>
              <w:t>`ONSET01_onset_h2_power_report.csv`</w:t>
            </w:r>
          </w:p>
        </w:tc>
      </w:tr>
      <w:tr>
        <w:tc>
          <w:tcPr>
            <w:tcW w:type="dxa" w:w="2160"/>
          </w:tcPr>
          <w:p>
            <w:r/>
            <w:r>
              <w:rPr>
                <w:rFonts w:ascii="Times New Roman" w:hAnsi="Times New Roman"/>
                <w:i w:val="0"/>
                <w:sz w:val="20"/>
              </w:rPr>
              <w:t>ST119</w:t>
            </w:r>
          </w:p>
        </w:tc>
        <w:tc>
          <w:tcPr>
            <w:tcW w:type="dxa" w:w="2160"/>
          </w:tcPr>
          <w:p>
            <w:r/>
            <w:r>
              <w:rPr>
                <w:rFonts w:ascii="Times New Roman" w:hAnsi="Times New Roman"/>
                <w:i w:val="0"/>
                <w:sz w:val="20"/>
              </w:rPr>
              <w:t>Dimension–disease coupling map (85 tests)</w:t>
            </w:r>
          </w:p>
        </w:tc>
        <w:tc>
          <w:tcPr>
            <w:tcW w:type="dxa" w:w="2160"/>
          </w:tcPr>
          <w:p>
            <w:r/>
            <w:r>
              <w:rPr>
                <w:rFonts w:ascii="Times New Roman" w:hAnsi="Times New Roman"/>
                <w:i w:val="0"/>
                <w:sz w:val="20"/>
              </w:rPr>
              <w:t>MHC-free LDSC genetic correlations for 5 ageing instruments x 17 FinnGen endpoints (85 tests, BH-FDR, canonical engine): frailty couples to 12 of 17 endpoints (strongest asthma-nasal-polyp rg 0.637; asthma 0.467; rhinitis 0.361) with sharp null boundaries, whereas clocks are nearly silent on the primary allergic endpoints.</w:t>
            </w:r>
          </w:p>
        </w:tc>
        <w:tc>
          <w:tcPr>
            <w:tcW w:type="dxa" w:w="2160"/>
          </w:tcPr>
          <w:p>
            <w:r/>
            <w:r>
              <w:rPr>
                <w:rFonts w:ascii="Times New Roman" w:hAnsi="Times New Roman"/>
                <w:i w:val="0"/>
                <w:sz w:val="20"/>
              </w:rPr>
              <w:t>`COUP01_dimension_disease_coupling_rg.csv`</w:t>
            </w:r>
          </w:p>
        </w:tc>
      </w:tr>
      <w:tr>
        <w:tc>
          <w:tcPr>
            <w:tcW w:type="dxa" w:w="2160"/>
          </w:tcPr>
          <w:p>
            <w:r/>
            <w:r>
              <w:rPr>
                <w:rFonts w:ascii="Times New Roman" w:hAnsi="Times New Roman"/>
                <w:i w:val="0"/>
                <w:sz w:val="20"/>
              </w:rPr>
              <w:t>ST120</w:t>
            </w:r>
          </w:p>
        </w:tc>
        <w:tc>
          <w:tcPr>
            <w:tcW w:type="dxa" w:w="2160"/>
          </w:tcPr>
          <w:p>
            <w:r/>
            <w:r>
              <w:rPr>
                <w:rFonts w:ascii="Times New Roman" w:hAnsi="Times New Roman"/>
                <w:i w:val="0"/>
                <w:sz w:val="20"/>
              </w:rPr>
              <w:t>Period/cohort decomposition of the drift</w:t>
            </w:r>
          </w:p>
        </w:tc>
        <w:tc>
          <w:tcPr>
            <w:tcW w:type="dxa" w:w="2160"/>
          </w:tcPr>
          <w:p>
            <w:r/>
            <w:r>
              <w:rPr>
                <w:rFonts w:ascii="Times New Roman" w:hAnsi="Times New Roman"/>
                <w:i w:val="0"/>
                <w:sz w:val="20"/>
              </w:rPr>
              <w:t>Pre-specified NHANES decomposition: period level shift (none; P = 0.60), period x age interaction, continuous birth-cohort main and interaction terms, and same-age cross-cohort level differences across five age bands; cohort-adjusted drift 0.070 SD/decade (only ~5% attenuation), directions argue against cohort inflation.</w:t>
            </w:r>
          </w:p>
        </w:tc>
        <w:tc>
          <w:tcPr>
            <w:tcW w:type="dxa" w:w="2160"/>
          </w:tcPr>
          <w:p>
            <w:r/>
            <w:r>
              <w:rPr>
                <w:rFonts w:ascii="Times New Roman" w:hAnsi="Times New Roman"/>
                <w:i w:val="0"/>
                <w:sz w:val="20"/>
              </w:rPr>
              <w:t>`DRIFT01_cohort_period_decomposition.csv`</w:t>
            </w:r>
          </w:p>
        </w:tc>
      </w:tr>
      <w:tr>
        <w:tc>
          <w:tcPr>
            <w:tcW w:type="dxa" w:w="2160"/>
          </w:tcPr>
          <w:p>
            <w:r/>
            <w:r>
              <w:rPr>
                <w:rFonts w:ascii="Times New Roman" w:hAnsi="Times New Roman"/>
                <w:i w:val="0"/>
                <w:sz w:val="20"/>
              </w:rPr>
              <w:t>ST121</w:t>
            </w:r>
          </w:p>
        </w:tc>
        <w:tc>
          <w:tcPr>
            <w:tcW w:type="dxa" w:w="2160"/>
          </w:tcPr>
          <w:p>
            <w:r/>
            <w:r>
              <w:rPr>
                <w:rFonts w:ascii="Times New Roman" w:hAnsi="Times New Roman"/>
                <w:i w:val="0"/>
                <w:sz w:val="20"/>
              </w:rPr>
              <w:t>No-CRP drift sensitivity (assay robustness)</w:t>
            </w:r>
          </w:p>
        </w:tc>
        <w:tc>
          <w:tcPr>
            <w:tcW w:type="dxa" w:w="2160"/>
          </w:tcPr>
          <w:p>
            <w:r/>
            <w:r>
              <w:rPr>
                <w:rFonts w:ascii="Times New Roman" w:hAnsi="Times New Roman"/>
                <w:i w:val="0"/>
                <w:sz w:val="20"/>
              </w:rPr>
              <w:t>Cycle-D conventional-CRP versus cycle-J high-sensitivity-CRP robustness: the no-CRP index period x age interaction persists (0.041, P = 0.002); component decomposition (interaction carried by WBC +0.037, eosinophils +0.027, lymphocytes -0.027; CRP component opposite -0.052); no-CRP pooled drift 0.069 SD/decade.</w:t>
            </w:r>
          </w:p>
        </w:tc>
        <w:tc>
          <w:tcPr>
            <w:tcW w:type="dxa" w:w="2160"/>
          </w:tcPr>
          <w:p>
            <w:r/>
            <w:r>
              <w:rPr>
                <w:rFonts w:ascii="Times New Roman" w:hAnsi="Times New Roman"/>
                <w:i w:val="0"/>
                <w:sz w:val="20"/>
              </w:rPr>
              <w:t>`DRIFT02_noccrp_crp_sensitivity.csv`</w:t>
            </w:r>
          </w:p>
        </w:tc>
      </w:tr>
      <w:tr>
        <w:tc>
          <w:tcPr>
            <w:tcW w:type="dxa" w:w="2160"/>
          </w:tcPr>
          <w:p>
            <w:r/>
            <w:r>
              <w:rPr>
                <w:rFonts w:ascii="Times New Roman" w:hAnsi="Times New Roman"/>
                <w:i w:val="0"/>
                <w:sz w:val="20"/>
              </w:rPr>
              <w:t>ST122</w:t>
            </w:r>
          </w:p>
        </w:tc>
        <w:tc>
          <w:tcPr>
            <w:tcW w:type="dxa" w:w="2160"/>
          </w:tcPr>
          <w:p>
            <w:r/>
            <w:r>
              <w:rPr>
                <w:rFonts w:ascii="Times New Roman" w:hAnsi="Times New Roman"/>
                <w:i w:val="0"/>
                <w:sz w:val="20"/>
              </w:rPr>
              <w:t>Geroprotector triple-filter screen</w:t>
            </w:r>
          </w:p>
        </w:tc>
        <w:tc>
          <w:tcPr>
            <w:tcW w:type="dxa" w:w="2160"/>
          </w:tcPr>
          <w:p>
            <w:r/>
            <w:r>
              <w:rPr>
                <w:rFonts w:ascii="Times New Roman" w:hAnsi="Times New Roman"/>
                <w:i w:val="0"/>
                <w:sz w:val="20"/>
              </w:rPr>
              <w:t>Curated-ageing-signature suppression and alarmin-safety for 52 geroprotective compounds matchable in LINCS: only metoprolol (z -2.78, q 0.022) and LY-294002 (tool compound; z -2.22, q 0.068) suppress the curated ageing signature without amplifying the alarmin programme; quercetin fails the curated filter despite passing the internal signature (signature-definition dependence).</w:t>
            </w:r>
          </w:p>
        </w:tc>
        <w:tc>
          <w:tcPr>
            <w:tcW w:type="dxa" w:w="2160"/>
          </w:tcPr>
          <w:p>
            <w:r/>
            <w:r>
              <w:rPr>
                <w:rFonts w:ascii="Times New Roman" w:hAnsi="Times New Roman"/>
                <w:i w:val="0"/>
                <w:sz w:val="20"/>
              </w:rPr>
              <w:t>`GER01_geroprotector_triple_filter.csv`</w:t>
            </w:r>
          </w:p>
        </w:tc>
      </w:tr>
      <w:tr>
        <w:tc>
          <w:tcPr>
            <w:tcW w:type="dxa" w:w="2160"/>
          </w:tcPr>
          <w:p>
            <w:r/>
            <w:r>
              <w:rPr>
                <w:rFonts w:ascii="Times New Roman" w:hAnsi="Times New Roman"/>
                <w:i w:val="0"/>
                <w:sz w:val="20"/>
              </w:rPr>
              <w:t>ST123</w:t>
            </w:r>
          </w:p>
        </w:tc>
        <w:tc>
          <w:tcPr>
            <w:tcW w:type="dxa" w:w="2160"/>
          </w:tcPr>
          <w:p>
            <w:r/>
            <w:r>
              <w:rPr>
                <w:rFonts w:ascii="Times New Roman" w:hAnsi="Times New Roman"/>
                <w:i w:val="0"/>
                <w:sz w:val="20"/>
              </w:rPr>
              <w:t>Dual-signature pass list (internal versus curated)</w:t>
            </w:r>
          </w:p>
        </w:tc>
        <w:tc>
          <w:tcPr>
            <w:tcW w:type="dxa" w:w="2160"/>
          </w:tcPr>
          <w:p>
            <w:r/>
            <w:r>
              <w:rPr>
                <w:rFonts w:ascii="Times New Roman" w:hAnsi="Times New Roman"/>
                <w:i w:val="0"/>
                <w:sz w:val="20"/>
              </w:rPr>
              <w:t>Side-by-side pass lists under the internal (11-drug) and curated (52-drug) signature definitions, reconciling the apparent tension between "no drug suppressed both" (internal) and "two compounds pass the curated triple filter"; azithromycin is the internal-definition anti-alarmin near-match.</w:t>
            </w:r>
          </w:p>
        </w:tc>
        <w:tc>
          <w:tcPr>
            <w:tcW w:type="dxa" w:w="2160"/>
          </w:tcPr>
          <w:p>
            <w:r/>
            <w:r>
              <w:rPr>
                <w:rFonts w:ascii="Times New Roman" w:hAnsi="Times New Roman"/>
                <w:i w:val="0"/>
                <w:sz w:val="20"/>
              </w:rPr>
              <w:t>`GER02_dual_signature_pass_list.csv`</w:t>
            </w:r>
          </w:p>
        </w:tc>
      </w:tr>
      <w:tr>
        <w:tc>
          <w:tcPr>
            <w:tcW w:type="dxa" w:w="2160"/>
          </w:tcPr>
          <w:p>
            <w:r/>
            <w:r>
              <w:rPr>
                <w:rFonts w:ascii="Times New Roman" w:hAnsi="Times New Roman"/>
                <w:i w:val="0"/>
                <w:sz w:val="20"/>
              </w:rPr>
              <w:t>ST124</w:t>
            </w:r>
          </w:p>
        </w:tc>
        <w:tc>
          <w:tcPr>
            <w:tcW w:type="dxa" w:w="2160"/>
          </w:tcPr>
          <w:p>
            <w:r/>
            <w:r>
              <w:rPr>
                <w:rFonts w:ascii="Times New Roman" w:hAnsi="Times New Roman"/>
                <w:i w:val="0"/>
                <w:sz w:val="20"/>
              </w:rPr>
              <w:t>Index weight sensitivity</w:t>
            </w:r>
          </w:p>
        </w:tc>
        <w:tc>
          <w:tcPr>
            <w:tcW w:type="dxa" w:w="2160"/>
          </w:tcPr>
          <w:p>
            <w:r/>
            <w:r>
              <w:rPr>
                <w:rFonts w:ascii="Times New Roman" w:hAnsi="Times New Roman"/>
                <w:i w:val="0"/>
                <w:sz w:val="20"/>
              </w:rPr>
              <w:t>Equal-weight, eosinophil-free and leave-one-component-out index rebuilds in NHANES. Includes the objective-IgE component decomposition: the eosinophil-free index is null for IgE (log-IgE beta 0.005, P = 0.88; high-IgE OR 1.04) whereas the eosinophil-only index carries it (beta 0.351; OR 1.53); the self-reported association is retained by the eosinophil-free index.</w:t>
            </w:r>
          </w:p>
        </w:tc>
        <w:tc>
          <w:tcPr>
            <w:tcW w:type="dxa" w:w="2160"/>
          </w:tcPr>
          <w:p>
            <w:r/>
            <w:r>
              <w:rPr>
                <w:rFonts w:ascii="Times New Roman" w:hAnsi="Times New Roman"/>
                <w:i w:val="0"/>
                <w:sz w:val="20"/>
              </w:rPr>
              <w:t>`ST124_index_weight_sensitivity.csv`</w:t>
            </w:r>
          </w:p>
        </w:tc>
      </w:tr>
      <w:tr>
        <w:tc>
          <w:tcPr>
            <w:tcW w:type="dxa" w:w="2160"/>
          </w:tcPr>
          <w:p>
            <w:r/>
            <w:r>
              <w:rPr>
                <w:rFonts w:ascii="Times New Roman" w:hAnsi="Times New Roman"/>
                <w:i w:val="0"/>
                <w:sz w:val="20"/>
              </w:rPr>
              <w:t>ST125</w:t>
            </w:r>
          </w:p>
        </w:tc>
        <w:tc>
          <w:tcPr>
            <w:tcW w:type="dxa" w:w="2160"/>
          </w:tcPr>
          <w:p>
            <w:r/>
            <w:r>
              <w:rPr>
                <w:rFonts w:ascii="Times New Roman" w:hAnsi="Times New Roman"/>
                <w:i w:val="0"/>
                <w:sz w:val="20"/>
              </w:rPr>
              <w:t>Independent ageing-exposure MR</w:t>
            </w:r>
          </w:p>
        </w:tc>
        <w:tc>
          <w:tcPr>
            <w:tcW w:type="dxa" w:w="2160"/>
          </w:tcPr>
          <w:p>
            <w:r/>
            <w:r>
              <w:rPr>
                <w:rFonts w:ascii="Times New Roman" w:hAnsi="Times New Roman"/>
                <w:i w:val="0"/>
                <w:sz w:val="20"/>
              </w:rPr>
              <w:t>Leucocyte telomere length and longevity instruments against the three allergic outcomes.</w:t>
            </w:r>
          </w:p>
        </w:tc>
        <w:tc>
          <w:tcPr>
            <w:tcW w:type="dxa" w:w="2160"/>
          </w:tcPr>
          <w:p>
            <w:r/>
            <w:r>
              <w:rPr>
                <w:rFonts w:ascii="Times New Roman" w:hAnsi="Times New Roman"/>
                <w:i w:val="0"/>
                <w:sz w:val="20"/>
              </w:rPr>
              <w:t>`ST125_independent_ageing_mr.csv`</w:t>
            </w:r>
          </w:p>
        </w:tc>
      </w:tr>
      <w:tr>
        <w:tc>
          <w:tcPr>
            <w:tcW w:type="dxa" w:w="2160"/>
          </w:tcPr>
          <w:p>
            <w:r/>
            <w:r>
              <w:rPr>
                <w:rFonts w:ascii="Times New Roman" w:hAnsi="Times New Roman"/>
                <w:i w:val="0"/>
                <w:sz w:val="20"/>
              </w:rPr>
              <w:t>ST126</w:t>
            </w:r>
          </w:p>
        </w:tc>
        <w:tc>
          <w:tcPr>
            <w:tcW w:type="dxa" w:w="2160"/>
          </w:tcPr>
          <w:p>
            <w:r/>
            <w:r>
              <w:rPr>
                <w:rFonts w:ascii="Times New Roman" w:hAnsi="Times New Roman"/>
                <w:i w:val="0"/>
                <w:sz w:val="20"/>
              </w:rPr>
              <w:t>Independent LDSC genetic correlation</w:t>
            </w:r>
          </w:p>
        </w:tc>
        <w:tc>
          <w:tcPr>
            <w:tcW w:type="dxa" w:w="2160"/>
          </w:tcPr>
          <w:p>
            <w:r/>
            <w:r>
              <w:rPr>
                <w:rFonts w:ascii="Times New Roman" w:hAnsi="Times New Roman"/>
                <w:i w:val="0"/>
                <w:sz w:val="20"/>
              </w:rPr>
              <w:t>Genetic correlations reproduced by an independent Python-3 LD score regression implementation.</w:t>
            </w:r>
          </w:p>
        </w:tc>
        <w:tc>
          <w:tcPr>
            <w:tcW w:type="dxa" w:w="2160"/>
          </w:tcPr>
          <w:p>
            <w:r/>
            <w:r>
              <w:rPr>
                <w:rFonts w:ascii="Times New Roman" w:hAnsi="Times New Roman"/>
                <w:i w:val="0"/>
                <w:sz w:val="20"/>
              </w:rPr>
              <w:t>`ST126_independent_ldsc_rg.csv`</w:t>
            </w:r>
          </w:p>
        </w:tc>
      </w:tr>
      <w:tr>
        <w:tc>
          <w:tcPr>
            <w:tcW w:type="dxa" w:w="2160"/>
          </w:tcPr>
          <w:p>
            <w:r/>
            <w:r>
              <w:rPr>
                <w:rFonts w:ascii="Times New Roman" w:hAnsi="Times New Roman"/>
                <w:i w:val="0"/>
                <w:sz w:val="20"/>
              </w:rPr>
              <w:t>ST127</w:t>
            </w:r>
          </w:p>
        </w:tc>
        <w:tc>
          <w:tcPr>
            <w:tcW w:type="dxa" w:w="2160"/>
          </w:tcPr>
          <w:p>
            <w:r/>
            <w:r>
              <w:rPr>
                <w:rFonts w:ascii="Times New Roman" w:hAnsi="Times New Roman"/>
                <w:i w:val="0"/>
                <w:sz w:val="20"/>
              </w:rPr>
              <w:t>HELIC Olink IL18 replication</w:t>
            </w:r>
          </w:p>
        </w:tc>
        <w:tc>
          <w:tcPr>
            <w:tcW w:type="dxa" w:w="2160"/>
          </w:tcPr>
          <w:p>
            <w:r/>
            <w:r>
              <w:rPr>
                <w:rFonts w:ascii="Times New Roman" w:hAnsi="Times New Roman"/>
                <w:i w:val="0"/>
                <w:sz w:val="20"/>
              </w:rPr>
              <w:t>Per-SNP and fixed-effect IVW IL18 cis-pQTL replication in the HELIC Olink cohort (GCST90010141, GRCh38), previously not estimable because the frozen instrument coordinates are GRCh37; resolved via NCBI GRCh38 coordinates.</w:t>
            </w:r>
          </w:p>
        </w:tc>
        <w:tc>
          <w:tcPr>
            <w:tcW w:type="dxa" w:w="2160"/>
          </w:tcPr>
          <w:p>
            <w:r/>
            <w:r>
              <w:rPr>
                <w:rFonts w:ascii="Times New Roman" w:hAnsi="Times New Roman"/>
                <w:i w:val="0"/>
                <w:sz w:val="20"/>
              </w:rPr>
              <w:t>`ST127_pqtl_helic_il18.csv`</w:t>
            </w:r>
          </w:p>
        </w:tc>
      </w:tr>
      <w:tr>
        <w:tc>
          <w:tcPr>
            <w:tcW w:type="dxa" w:w="2160"/>
          </w:tcPr>
          <w:p>
            <w:r/>
            <w:r>
              <w:rPr>
                <w:rFonts w:ascii="Times New Roman" w:hAnsi="Times New Roman"/>
                <w:i w:val="0"/>
                <w:sz w:val="20"/>
              </w:rPr>
              <w:t>ST128</w:t>
            </w:r>
          </w:p>
        </w:tc>
        <w:tc>
          <w:tcPr>
            <w:tcW w:type="dxa" w:w="2160"/>
          </w:tcPr>
          <w:p>
            <w:r/>
            <w:r>
              <w:rPr>
                <w:rFonts w:ascii="Times New Roman" w:hAnsi="Times New Roman"/>
                <w:i w:val="0"/>
                <w:sz w:val="20"/>
              </w:rPr>
              <w:t>pQTL cross-platform meta-analysis</w:t>
            </w:r>
          </w:p>
        </w:tc>
        <w:tc>
          <w:tcPr>
            <w:tcW w:type="dxa" w:w="2160"/>
          </w:tcPr>
          <w:p>
            <w:r/>
            <w:r>
              <w:rPr>
                <w:rFonts w:ascii="Times New Roman" w:hAnsi="Times New Roman"/>
                <w:i w:val="0"/>
                <w:sz w:val="20"/>
              </w:rPr>
              <w:t>Inverse-variance meta-analysis of the per-platform IL18 (SCALLOP, Ahola-Olli Luminex, HELIC) and TNFSF14 (AGES, INTERVAL) replication estimates.</w:t>
            </w:r>
          </w:p>
        </w:tc>
        <w:tc>
          <w:tcPr>
            <w:tcW w:type="dxa" w:w="2160"/>
          </w:tcPr>
          <w:p>
            <w:r/>
            <w:r>
              <w:rPr>
                <w:rFonts w:ascii="Times New Roman" w:hAnsi="Times New Roman"/>
                <w:i w:val="0"/>
                <w:sz w:val="20"/>
              </w:rPr>
              <w:t>`ST128_pqtl_crossplatform_meta.csv`</w:t>
            </w:r>
          </w:p>
        </w:tc>
      </w:tr>
      <w:tr>
        <w:tc>
          <w:tcPr>
            <w:tcW w:type="dxa" w:w="2160"/>
          </w:tcPr>
          <w:p>
            <w:r/>
            <w:r>
              <w:rPr>
                <w:rFonts w:ascii="Times New Roman" w:hAnsi="Times New Roman"/>
                <w:i w:val="0"/>
                <w:sz w:val="20"/>
              </w:rPr>
              <w:t>ST129</w:t>
            </w:r>
          </w:p>
        </w:tc>
        <w:tc>
          <w:tcPr>
            <w:tcW w:type="dxa" w:w="2160"/>
          </w:tcPr>
          <w:p>
            <w:r/>
            <w:r>
              <w:rPr>
                <w:rFonts w:ascii="Times New Roman" w:hAnsi="Times New Roman"/>
                <w:i w:val="0"/>
                <w:sz w:val="20"/>
              </w:rPr>
              <w:t>Open Targets genetic constraint and tractability</w:t>
            </w:r>
          </w:p>
        </w:tc>
        <w:tc>
          <w:tcPr>
            <w:tcW w:type="dxa" w:w="2160"/>
          </w:tcPr>
          <w:p>
            <w:r/>
            <w:r>
              <w:rPr>
                <w:rFonts w:ascii="Times New Roman" w:hAnsi="Times New Roman"/>
                <w:i w:val="0"/>
                <w:sz w:val="20"/>
              </w:rPr>
              <w:t>gnomAD loss-of-function constraint scores and tractability flags for the nominated and comparator type-2 genes (IL18, TNFSF14, IL33, IL4, IL13, IL5, TSLP, IL4R, IL1RL1).</w:t>
            </w:r>
          </w:p>
        </w:tc>
        <w:tc>
          <w:tcPr>
            <w:tcW w:type="dxa" w:w="2160"/>
          </w:tcPr>
          <w:p>
            <w:r/>
            <w:r>
              <w:rPr>
                <w:rFonts w:ascii="Times New Roman" w:hAnsi="Times New Roman"/>
                <w:i w:val="0"/>
                <w:sz w:val="20"/>
              </w:rPr>
              <w:t>`ST129_open_targets_constraint.csv`</w:t>
            </w:r>
          </w:p>
        </w:tc>
      </w:tr>
      <w:tr>
        <w:tc>
          <w:tcPr>
            <w:tcW w:type="dxa" w:w="2160"/>
          </w:tcPr>
          <w:p>
            <w:r/>
            <w:r>
              <w:rPr>
                <w:rFonts w:ascii="Times New Roman" w:hAnsi="Times New Roman"/>
                <w:i w:val="0"/>
                <w:sz w:val="20"/>
              </w:rPr>
              <w:t>ST130</w:t>
            </w:r>
          </w:p>
        </w:tc>
        <w:tc>
          <w:tcPr>
            <w:tcW w:type="dxa" w:w="2160"/>
          </w:tcPr>
          <w:p>
            <w:r/>
            <w:r>
              <w:rPr>
                <w:rFonts w:ascii="Times New Roman" w:hAnsi="Times New Roman"/>
                <w:i w:val="0"/>
                <w:sz w:val="20"/>
              </w:rPr>
              <w:t>Type-2 disease-spectrum MR (Pan-UK Biobank)</w:t>
            </w:r>
          </w:p>
        </w:tc>
        <w:tc>
          <w:tcPr>
            <w:tcW w:type="dxa" w:w="2160"/>
          </w:tcPr>
          <w:p>
            <w:r/>
            <w:r>
              <w:rPr>
                <w:rFonts w:ascii="Times New Roman" w:hAnsi="Times New Roman"/>
                <w:i w:val="0"/>
                <w:sz w:val="20"/>
              </w:rPr>
              <w:t>Composite-index MR against independent UK Biobank endpoints: asthma (OR 2.78), allergic rhinitis (OR 1.58), urticaria (null) and negative controls (type 1 diabetes, rheumatoid arthritis; null). Negative-control diagnostics: the type-1-diabetes test carries a marginal Egger intercept (P = 0.017) and both negative-control instruments are heterogeneous (I2 = 79-86%), so these nulls are read as absence of detectable signal rather than verified specificity.</w:t>
            </w:r>
          </w:p>
        </w:tc>
        <w:tc>
          <w:tcPr>
            <w:tcW w:type="dxa" w:w="2160"/>
          </w:tcPr>
          <w:p>
            <w:r/>
            <w:r>
              <w:rPr>
                <w:rFonts w:ascii="Times New Roman" w:hAnsi="Times New Roman"/>
                <w:i w:val="0"/>
                <w:sz w:val="20"/>
              </w:rPr>
              <w:t>`ST130_type2_spectrum_mr_panukbb.csv`</w:t>
            </w:r>
          </w:p>
        </w:tc>
      </w:tr>
      <w:tr>
        <w:tc>
          <w:tcPr>
            <w:tcW w:type="dxa" w:w="2160"/>
          </w:tcPr>
          <w:p>
            <w:r/>
            <w:r>
              <w:rPr>
                <w:rFonts w:ascii="Times New Roman" w:hAnsi="Times New Roman"/>
                <w:i w:val="0"/>
                <w:sz w:val="20"/>
              </w:rPr>
              <w:t>ST131</w:t>
            </w:r>
          </w:p>
        </w:tc>
        <w:tc>
          <w:tcPr>
            <w:tcW w:type="dxa" w:w="2160"/>
          </w:tcPr>
          <w:p>
            <w:r/>
            <w:r>
              <w:rPr>
                <w:rFonts w:ascii="Times New Roman" w:hAnsi="Times New Roman"/>
                <w:i w:val="0"/>
                <w:sz w:val="20"/>
              </w:rPr>
              <w:t>Non-HLA frailty re-adjudication</w:t>
            </w:r>
          </w:p>
        </w:tc>
        <w:tc>
          <w:tcPr>
            <w:tcW w:type="dxa" w:w="2160"/>
          </w:tcPr>
          <w:p>
            <w:r/>
            <w:r>
              <w:rPr>
                <w:rFonts w:ascii="Times New Roman" w:hAnsi="Times New Roman"/>
                <w:i w:val="0"/>
                <w:sz w:val="20"/>
              </w:rPr>
              <w:t>The 13 frailty-instrument SNPs outside every canonical immune locus tested as a non-HLA frailty instrument against FinnGen and Pan-UK Biobank outcomes (asthma OR 3.85 FinnGen / 2.38 Pan-UKB; rhinitis 2.67; atopic dermatitis 1.60); the association is preserved, so the frailty-allergy signal is not HLA-driven.</w:t>
            </w:r>
          </w:p>
        </w:tc>
        <w:tc>
          <w:tcPr>
            <w:tcW w:type="dxa" w:w="2160"/>
          </w:tcPr>
          <w:p>
            <w:r/>
            <w:r>
              <w:rPr>
                <w:rFonts w:ascii="Times New Roman" w:hAnsi="Times New Roman"/>
                <w:i w:val="0"/>
                <w:sz w:val="20"/>
              </w:rPr>
              <w:t>`ST131_nonHLA_frailty_readjudication.csv`</w:t>
            </w:r>
          </w:p>
        </w:tc>
      </w:tr>
      <w:tr>
        <w:tc>
          <w:tcPr>
            <w:tcW w:type="dxa" w:w="2160"/>
          </w:tcPr>
          <w:p>
            <w:r/>
            <w:r>
              <w:rPr>
                <w:rFonts w:ascii="Times New Roman" w:hAnsi="Times New Roman"/>
                <w:i w:val="0"/>
                <w:sz w:val="20"/>
              </w:rPr>
              <w:t>ST132</w:t>
            </w:r>
          </w:p>
        </w:tc>
        <w:tc>
          <w:tcPr>
            <w:tcW w:type="dxa" w:w="2160"/>
          </w:tcPr>
          <w:p>
            <w:r/>
            <w:r>
              <w:rPr>
                <w:rFonts w:ascii="Times New Roman" w:hAnsi="Times New Roman"/>
                <w:i w:val="0"/>
                <w:sz w:val="20"/>
              </w:rPr>
              <w:t>External healthspan dimension re-adjudication</w:t>
            </w:r>
          </w:p>
        </w:tc>
        <w:tc>
          <w:tcPr>
            <w:tcW w:type="dxa" w:w="2160"/>
          </w:tcPr>
          <w:p>
            <w:r/>
            <w:r>
              <w:rPr>
                <w:rFonts w:ascii="Times New Roman" w:hAnsi="Times New Roman"/>
                <w:i w:val="0"/>
                <w:sz w:val="20"/>
              </w:rPr>
              <w:t>Timmers 2019 healthspan GWAS (GCST007406; n = 300,447); 13 instrument SNPs after excluding the MHC window, tested against FinnGen outcomes: asthma OR 0.67 (P = 1.2e-3), rhinitis 0.86 (P = 0.17) and atopic dermatitis 0.93 (P = 0.37). A nominal, direction-consistent protective asthma association (better healthspan, lower asthma risk) that partially anchors the ageing direction with an external non-HLA instrument, but is nominal and cardiometabolically weighted.</w:t>
            </w:r>
          </w:p>
        </w:tc>
        <w:tc>
          <w:tcPr>
            <w:tcW w:type="dxa" w:w="2160"/>
          </w:tcPr>
          <w:p>
            <w:r/>
            <w:r>
              <w:rPr>
                <w:rFonts w:ascii="Times New Roman" w:hAnsi="Times New Roman"/>
                <w:i w:val="0"/>
                <w:sz w:val="20"/>
              </w:rPr>
              <w:t>`ST132_independent_ageing_readjudication.csv`</w:t>
            </w:r>
          </w:p>
        </w:tc>
      </w:tr>
      <w:tr>
        <w:tc>
          <w:tcPr>
            <w:tcW w:type="dxa" w:w="2160"/>
          </w:tcPr>
          <w:p>
            <w:r/>
            <w:r>
              <w:rPr>
                <w:rFonts w:ascii="Times New Roman" w:hAnsi="Times New Roman"/>
                <w:i w:val="0"/>
                <w:sz w:val="20"/>
              </w:rPr>
              <w:t>ST133</w:t>
            </w:r>
          </w:p>
        </w:tc>
        <w:tc>
          <w:tcPr>
            <w:tcW w:type="dxa" w:w="2160"/>
          </w:tcPr>
          <w:p>
            <w:r/>
            <w:r>
              <w:rPr>
                <w:rFonts w:ascii="Times New Roman" w:hAnsi="Times New Roman"/>
                <w:i w:val="0"/>
                <w:sz w:val="20"/>
              </w:rPr>
              <w:t>Genetic-level eosinophil decomposition MR</w:t>
            </w:r>
          </w:p>
        </w:tc>
        <w:tc>
          <w:tcPr>
            <w:tcW w:type="dxa" w:w="2160"/>
          </w:tcPr>
          <w:p>
            <w:r/>
            <w:r>
              <w:rPr>
                <w:rFonts w:ascii="Times New Roman" w:hAnsi="Times New Roman"/>
                <w:i w:val="0"/>
                <w:sz w:val="20"/>
              </w:rPr>
              <w:t xml:space="preserve">Forward MR of the composite index against FinnGen R12 outcomes with the eosinophil-percentage SNPs removed (73 SNPs), alongside full (88) and eosinophil-only (15) instruments under identical allele-aware harmonization: eosinophil-free retains atopic dermatitis (OR 2.02, P = 2.0e-9) but attenuates for asthma (OR 1.42, P = 0.046; random-effects null) and is null for rhinitis (OR 0.80); supersedes a non-allele-aware internal r3 estimate. </w:t>
            </w:r>
            <w:r>
              <w:rPr>
                <w:rFonts w:ascii="Times New Roman" w:hAnsi="Times New Roman"/>
                <w:b/>
                <w:i w:val="0"/>
                <w:sz w:val="20"/>
              </w:rPr>
              <w:t>F-statistic convention:</w:t>
            </w:r>
            <w:r>
              <w:rPr>
                <w:rFonts w:ascii="Times New Roman" w:hAnsi="Times New Roman"/>
                <w:i w:val="0"/>
                <w:sz w:val="20"/>
              </w:rPr>
              <w:t xml:space="preserve"> the mean_F column is the mean per-SNP first-stage F = (β/SE)² computed in the component blood-trait GWAS (Pan-UKBB) in which each instrument SNP was selected; because every SNP reached genome-wide significance in that selection scan, these values are large by construction (and winner's-curse inflated as selection statistics), certify association strength in the selection GWAS only, and are not comparable to the frailty/clock instrument F values (F ≈ 36–131) computed in their smaller source GWAS.</w:t>
            </w:r>
          </w:p>
        </w:tc>
        <w:tc>
          <w:tcPr>
            <w:tcW w:type="dxa" w:w="2160"/>
          </w:tcPr>
          <w:p>
            <w:r/>
            <w:r>
              <w:rPr>
                <w:rFonts w:ascii="Times New Roman" w:hAnsi="Times New Roman"/>
                <w:i w:val="0"/>
                <w:sz w:val="20"/>
              </w:rPr>
              <w:t>`ST133_eosinophil_free_instrument_mr.csv`</w:t>
            </w:r>
          </w:p>
        </w:tc>
      </w:tr>
      <w:tr>
        <w:tc>
          <w:tcPr>
            <w:tcW w:type="dxa" w:w="2160"/>
          </w:tcPr>
          <w:p>
            <w:r/>
            <w:r>
              <w:rPr>
                <w:rFonts w:ascii="Times New Roman" w:hAnsi="Times New Roman"/>
                <w:i w:val="0"/>
                <w:sz w:val="20"/>
              </w:rPr>
              <w:t>ST134</w:t>
            </w:r>
          </w:p>
        </w:tc>
        <w:tc>
          <w:tcPr>
            <w:tcW w:type="dxa" w:w="2160"/>
          </w:tcPr>
          <w:p>
            <w:r/>
            <w:r>
              <w:rPr>
                <w:rFonts w:ascii="Times New Roman" w:hAnsi="Times New Roman"/>
                <w:i w:val="0"/>
                <w:sz w:val="20"/>
              </w:rPr>
              <w:t>Frailty-versus-clock rg formal contrasts</w:t>
            </w:r>
          </w:p>
        </w:tc>
        <w:tc>
          <w:tcPr>
            <w:tcW w:type="dxa" w:w="2160"/>
          </w:tcPr>
          <w:p>
            <w:r/>
            <w:r>
              <w:rPr>
                <w:rFonts w:ascii="Times New Roman" w:hAnsi="Times New Roman"/>
                <w:i w:val="0"/>
                <w:sz w:val="20"/>
              </w:rPr>
              <w:t>Pairwise tests of rg(Frailty, outcome) minus rg(clock, outcome) for 4 clocks x 3 outcomes (12 contrasts, BH-FDR; conservative independence assumption on shared-outcome covariance, plus rho = 0.5 sensitivity), computed on both the in-house (ST60) and independent (ST126) LDSC implementations: frailty significantly exceeds every clock for asthma and rhinitis (all q &lt;= 1.4e-3) but not for atopic dermatitis (PhenoAge nominally larger).</w:t>
            </w:r>
          </w:p>
        </w:tc>
        <w:tc>
          <w:tcPr>
            <w:tcW w:type="dxa" w:w="2160"/>
          </w:tcPr>
          <w:p>
            <w:r/>
            <w:r>
              <w:rPr>
                <w:rFonts w:ascii="Times New Roman" w:hAnsi="Times New Roman"/>
                <w:i w:val="0"/>
                <w:sz w:val="20"/>
              </w:rPr>
              <w:t>`ST134_frailty_vs_clock_rg_contrast.csv`</w:t>
            </w:r>
          </w:p>
        </w:tc>
      </w:tr>
      <w:tr>
        <w:tc>
          <w:tcPr>
            <w:tcW w:type="dxa" w:w="2160"/>
          </w:tcPr>
          <w:p>
            <w:r/>
            <w:r>
              <w:rPr>
                <w:rFonts w:ascii="Times New Roman" w:hAnsi="Times New Roman"/>
                <w:i w:val="0"/>
                <w:sz w:val="20"/>
              </w:rPr>
              <w:t>ST135</w:t>
            </w:r>
          </w:p>
        </w:tc>
        <w:tc>
          <w:tcPr>
            <w:tcW w:type="dxa" w:w="2160"/>
          </w:tcPr>
          <w:p>
            <w:r/>
            <w:r>
              <w:rPr>
                <w:rFonts w:ascii="Times New Roman" w:hAnsi="Times New Roman"/>
                <w:i w:val="0"/>
                <w:sz w:val="20"/>
              </w:rPr>
              <w:t>Steiger directionality audit (summary)</w:t>
            </w:r>
          </w:p>
        </w:tc>
        <w:tc>
          <w:tcPr>
            <w:tcW w:type="dxa" w:w="2160"/>
          </w:tcPr>
          <w:p>
            <w:r/>
            <w:r>
              <w:rPr>
                <w:rFonts w:ascii="Times New Roman" w:hAnsi="Times New Roman"/>
                <w:i w:val="0"/>
                <w:sz w:val="20"/>
              </w:rPr>
              <w:t>Per-pair SNP-level Steiger variance-explained tests for the forward MR (5 ageing instruments + composite index x 3 FinnGen outcomes): proportion of SNPs with R2(exposure) &gt; R2(outcome), binomial P, Steiger-significant correct/wrong counts and sum-R2 ratio. Clocks 100% correct; frailty majority correct with the wrong-direction minority concentrated in canonical immune loci; composite index 29-37% wrong-direction pre-filter (Steiger filtering applied to all reported estimates).</w:t>
            </w:r>
          </w:p>
        </w:tc>
        <w:tc>
          <w:tcPr>
            <w:tcW w:type="dxa" w:w="2160"/>
          </w:tcPr>
          <w:p>
            <w:r/>
            <w:r>
              <w:rPr>
                <w:rFonts w:ascii="Times New Roman" w:hAnsi="Times New Roman"/>
                <w:i w:val="0"/>
                <w:sz w:val="20"/>
              </w:rPr>
              <w:t>`ST135_steiger_directionality.csv`</w:t>
            </w:r>
          </w:p>
        </w:tc>
      </w:tr>
      <w:tr>
        <w:tc>
          <w:tcPr>
            <w:tcW w:type="dxa" w:w="2160"/>
          </w:tcPr>
          <w:p>
            <w:r/>
            <w:r>
              <w:rPr>
                <w:rFonts w:ascii="Times New Roman" w:hAnsi="Times New Roman"/>
                <w:i w:val="0"/>
                <w:sz w:val="20"/>
              </w:rPr>
              <w:t>ST135b</w:t>
            </w:r>
          </w:p>
        </w:tc>
        <w:tc>
          <w:tcPr>
            <w:tcW w:type="dxa" w:w="2160"/>
          </w:tcPr>
          <w:p>
            <w:r/>
            <w:r>
              <w:rPr>
                <w:rFonts w:ascii="Times New Roman" w:hAnsi="Times New Roman"/>
                <w:i w:val="0"/>
                <w:sz w:val="20"/>
              </w:rPr>
              <w:t>Steiger directionality audit (per-SNP)</w:t>
            </w:r>
          </w:p>
        </w:tc>
        <w:tc>
          <w:tcPr>
            <w:tcW w:type="dxa" w:w="2160"/>
          </w:tcPr>
          <w:p>
            <w:r/>
            <w:r>
              <w:rPr>
                <w:rFonts w:ascii="Times New Roman" w:hAnsi="Times New Roman"/>
                <w:i w:val="0"/>
                <w:sz w:val="20"/>
              </w:rPr>
              <w:t>Per-SNP companion to ST135: R2 on exposure and outcome sides, Steiger z/P, direction flag, and canonical-locus membership flags (HLA window, 5q31, R6 immune-locus set).</w:t>
            </w:r>
          </w:p>
        </w:tc>
        <w:tc>
          <w:tcPr>
            <w:tcW w:type="dxa" w:w="2160"/>
          </w:tcPr>
          <w:p>
            <w:r/>
            <w:r>
              <w:rPr>
                <w:rFonts w:ascii="Times New Roman" w:hAnsi="Times New Roman"/>
                <w:i w:val="0"/>
                <w:sz w:val="20"/>
              </w:rPr>
              <w:t>`ST135b_steiger_directionality_persnp.csv`</w:t>
            </w:r>
          </w:p>
        </w:tc>
      </w:tr>
      <w:tr>
        <w:tc>
          <w:tcPr>
            <w:tcW w:type="dxa" w:w="2160"/>
          </w:tcPr>
          <w:p>
            <w:r/>
            <w:r>
              <w:rPr>
                <w:rFonts w:ascii="Times New Roman" w:hAnsi="Times New Roman"/>
                <w:i w:val="0"/>
                <w:sz w:val="20"/>
              </w:rPr>
              <w:t>ST136</w:t>
            </w:r>
          </w:p>
        </w:tc>
        <w:tc>
          <w:tcPr>
            <w:tcW w:type="dxa" w:w="2160"/>
          </w:tcPr>
          <w:p>
            <w:r/>
            <w:r>
              <w:rPr>
                <w:rFonts w:ascii="Times New Roman" w:hAnsi="Times New Roman"/>
                <w:i w:val="0"/>
                <w:sz w:val="20"/>
              </w:rPr>
              <w:t>Eosinophil decomposition: independent-cohort replication</w:t>
            </w:r>
          </w:p>
        </w:tc>
        <w:tc>
          <w:tcPr>
            <w:tcW w:type="dxa" w:w="2160"/>
          </w:tcPr>
          <w:p>
            <w:r/>
            <w:r>
              <w:rPr>
                <w:rFonts w:ascii="Times New Roman" w:hAnsi="Times New Roman"/>
                <w:i w:val="0"/>
                <w:sz w:val="20"/>
              </w:rPr>
              <w:t>Full / eosinophil-free / eosinophil-only composite-index instruments against Pan-UK Biobank asthma (icd10-J45), allergic rhinitis (phecode 476) and urticaria (icd10-L50): eosinophil-free loses rhinitis (OR 1.53, P = 0.39) but is positive and significant for asthma (OR 1.86, P = 1.7e-7; RE P = 0.034; the eosinophil-only asthma estimate, OR 3.03, is close to the full index, so only a minority non-eosinophil component is indicated), so the FinnGen asthma attenuation reflects power rather than eosinophil carriage and the asthma decomposition did not replicate; the rhinitis result replicates. The Pan-UK Biobank batch is the same source used in Supplementary Table 130 (ST130). F-statistic convention: as defined for Supplementary Table 133 (ST133), the mean_F column is the mean per-SNP first-stage F = (β/SE)² computed in the Pan-UKBB component selection scans and certifies selection strength in the selection GWAS only.</w:t>
            </w:r>
          </w:p>
        </w:tc>
        <w:tc>
          <w:tcPr>
            <w:tcW w:type="dxa" w:w="2160"/>
          </w:tcPr>
          <w:p>
            <w:r/>
            <w:r>
              <w:rPr>
                <w:rFonts w:ascii="Times New Roman" w:hAnsi="Times New Roman"/>
                <w:i w:val="0"/>
                <w:sz w:val="20"/>
              </w:rPr>
              <w:t>`ST136_eosinophil_free_panukbb_mr.csv`</w:t>
            </w:r>
          </w:p>
        </w:tc>
      </w:tr>
      <w:tr>
        <w:tc>
          <w:tcPr>
            <w:tcW w:type="dxa" w:w="2160"/>
          </w:tcPr>
          <w:p>
            <w:r/>
            <w:r>
              <w:rPr>
                <w:rFonts w:ascii="Times New Roman" w:hAnsi="Times New Roman"/>
                <w:i w:val="0"/>
                <w:sz w:val="20"/>
              </w:rPr>
              <w:t>ST137</w:t>
            </w:r>
          </w:p>
        </w:tc>
        <w:tc>
          <w:tcPr>
            <w:tcW w:type="dxa" w:w="2160"/>
          </w:tcPr>
          <w:p>
            <w:r/>
            <w:r>
              <w:rPr>
                <w:rFonts w:ascii="Times New Roman" w:hAnsi="Times New Roman"/>
                <w:i w:val="0"/>
                <w:sz w:val="20"/>
              </w:rPr>
              <w:t>Canonical LDSC re-computation (rg and h2)</w:t>
            </w:r>
          </w:p>
        </w:tc>
        <w:tc>
          <w:tcPr>
            <w:tcW w:type="dxa" w:w="2160"/>
          </w:tcPr>
          <w:p>
            <w:r/>
            <w:r>
              <w:rPr>
                <w:rFonts w:ascii="Times New Roman" w:hAnsi="Times New Roman"/>
                <w:i w:val="0"/>
                <w:sz w:val="20"/>
              </w:rPr>
              <w:t>Bulik-Sullivan ldsc v1.0.1 (munged summary statistics; published 1000 Genomes Phase 3 HapMap3 weights) re-computation of all 5 exposure x 3 outcome correlations, MHC-free by reference construction, plus an MHC-included sensitivity layer for frailty: absolute rg differences from the in-house engine 0.001-0.086 (median 0.025); frailty correlations nearly identical (asthma 0.467, rhinitis 0.361, atopic dermatitis 0.246); MHC inclusion raises frailty rg by only 0.019-0.033.</w:t>
            </w:r>
          </w:p>
        </w:tc>
        <w:tc>
          <w:tcPr>
            <w:tcW w:type="dxa" w:w="2160"/>
          </w:tcPr>
          <w:p>
            <w:r/>
            <w:r>
              <w:rPr>
                <w:rFonts w:ascii="Times New Roman" w:hAnsi="Times New Roman"/>
                <w:i w:val="0"/>
                <w:sz w:val="20"/>
              </w:rPr>
              <w:t>`ST137_canonical_ldsc_rg.csv`</w:t>
            </w:r>
          </w:p>
        </w:tc>
      </w:tr>
      <w:tr>
        <w:tc>
          <w:tcPr>
            <w:tcW w:type="dxa" w:w="2160"/>
          </w:tcPr>
          <w:p>
            <w:r/>
            <w:r>
              <w:rPr>
                <w:rFonts w:ascii="Times New Roman" w:hAnsi="Times New Roman"/>
                <w:i w:val="0"/>
                <w:sz w:val="20"/>
              </w:rPr>
              <w:t>ST138</w:t>
            </w:r>
          </w:p>
        </w:tc>
        <w:tc>
          <w:tcPr>
            <w:tcW w:type="dxa" w:w="2160"/>
          </w:tcPr>
          <w:p>
            <w:r/>
            <w:r>
              <w:rPr>
                <w:rFonts w:ascii="Times New Roman" w:hAnsi="Times New Roman"/>
                <w:i w:val="0"/>
                <w:sz w:val="20"/>
              </w:rPr>
              <w:t>Canonical frailty-versus-clock rg contrasts</w:t>
            </w:r>
          </w:p>
        </w:tc>
        <w:tc>
          <w:tcPr>
            <w:tcW w:type="dxa" w:w="2160"/>
          </w:tcPr>
          <w:p>
            <w:r/>
            <w:r>
              <w:rPr>
                <w:rFonts w:ascii="Times New Roman" w:hAnsi="Times New Roman"/>
                <w:i w:val="0"/>
                <w:sz w:val="20"/>
              </w:rPr>
              <w:t>z-on-difference tests of rg(Frailty, outcome) minus rg(clock, outcome) under the canonical engine, both SE conventions (rho = 0 and rho = 0.5): asthma and rhinitis contrasts all significant (q &lt;= 2.6e-3 and q &lt;= 2.1e-3, rho = 0); atopic dermatitis convention-dependent (not significant at rho = 0; three of four significant at rho = 0.5).</w:t>
            </w:r>
          </w:p>
        </w:tc>
        <w:tc>
          <w:tcPr>
            <w:tcW w:type="dxa" w:w="2160"/>
          </w:tcPr>
          <w:p>
            <w:r/>
            <w:r>
              <w:rPr>
                <w:rFonts w:ascii="Times New Roman" w:hAnsi="Times New Roman"/>
                <w:i w:val="0"/>
                <w:sz w:val="20"/>
              </w:rPr>
              <w:t>`ST138_canonical_rg_contrast.csv`</w:t>
            </w:r>
          </w:p>
        </w:tc>
      </w:tr>
      <w:tr>
        <w:tc>
          <w:tcPr>
            <w:tcW w:type="dxa" w:w="2160"/>
          </w:tcPr>
          <w:p>
            <w:r/>
            <w:r>
              <w:rPr>
                <w:rFonts w:ascii="Times New Roman" w:hAnsi="Times New Roman"/>
                <w:i w:val="0"/>
                <w:sz w:val="20"/>
              </w:rPr>
              <w:t>ST139</w:t>
            </w:r>
          </w:p>
        </w:tc>
        <w:tc>
          <w:tcPr>
            <w:tcW w:type="dxa" w:w="2160"/>
          </w:tcPr>
          <w:p>
            <w:r/>
            <w:r>
              <w:rPr>
                <w:rFonts w:ascii="Times New Roman" w:hAnsi="Times New Roman"/>
                <w:i w:val="0"/>
                <w:sz w:val="20"/>
              </w:rPr>
              <w:t>Treg donor pseudobulk (single-cell atlas)</w:t>
            </w:r>
          </w:p>
        </w:tc>
        <w:tc>
          <w:tcPr>
            <w:tcW w:type="dxa" w:w="2160"/>
          </w:tcPr>
          <w:p>
            <w:r/>
            <w:r>
              <w:rPr>
                <w:rFonts w:ascii="Times New Roman" w:hAnsi="Times New Roman"/>
                <w:i w:val="0"/>
                <w:sz w:val="20"/>
              </w:rPr>
              <w:t>Donor-level regulatory-T-cell pseudobulk for the 12 donors with Treg cells (2,649 cells): gene counts, total counts and donor age for the five-test family (IL4, IL13, GATA3, FOXP3, IL5).</w:t>
            </w:r>
          </w:p>
        </w:tc>
        <w:tc>
          <w:tcPr>
            <w:tcW w:type="dxa" w:w="2160"/>
          </w:tcPr>
          <w:p>
            <w:r/>
            <w:r>
              <w:rPr>
                <w:rFonts w:ascii="Times New Roman" w:hAnsi="Times New Roman"/>
                <w:i w:val="0"/>
                <w:sz w:val="20"/>
              </w:rPr>
              <w:t>`ST139_treg_donor_pseudobulk.csv`</w:t>
            </w:r>
          </w:p>
        </w:tc>
      </w:tr>
      <w:tr>
        <w:tc>
          <w:tcPr>
            <w:tcW w:type="dxa" w:w="2160"/>
          </w:tcPr>
          <w:p>
            <w:r/>
            <w:r>
              <w:rPr>
                <w:rFonts w:ascii="Times New Roman" w:hAnsi="Times New Roman"/>
                <w:i w:val="0"/>
                <w:sz w:val="20"/>
              </w:rPr>
              <w:t>ST139b</w:t>
            </w:r>
          </w:p>
        </w:tc>
        <w:tc>
          <w:tcPr>
            <w:tcW w:type="dxa" w:w="2160"/>
          </w:tcPr>
          <w:p>
            <w:r/>
            <w:r>
              <w:rPr>
                <w:rFonts w:ascii="Times New Roman" w:hAnsi="Times New Roman"/>
                <w:i w:val="0"/>
                <w:sz w:val="20"/>
              </w:rPr>
              <w:t>Treg detection by donor</w:t>
            </w:r>
          </w:p>
        </w:tc>
        <w:tc>
          <w:tcPr>
            <w:tcW w:type="dxa" w:w="2160"/>
          </w:tcPr>
          <w:p>
            <w:r/>
            <w:r>
              <w:rPr>
                <w:rFonts w:ascii="Times New Roman" w:hAnsi="Times New Roman"/>
                <w:i w:val="0"/>
                <w:sz w:val="20"/>
              </w:rPr>
              <w:t>Per-donor positive-cell counts and detection rates for the five Treg family genes.</w:t>
            </w:r>
          </w:p>
        </w:tc>
        <w:tc>
          <w:tcPr>
            <w:tcW w:type="dxa" w:w="2160"/>
          </w:tcPr>
          <w:p>
            <w:r/>
            <w:r>
              <w:rPr>
                <w:rFonts w:ascii="Times New Roman" w:hAnsi="Times New Roman"/>
                <w:i w:val="0"/>
                <w:sz w:val="20"/>
              </w:rPr>
              <w:t>`ST139b_treg_detection_by_donor.csv`</w:t>
            </w:r>
          </w:p>
        </w:tc>
      </w:tr>
      <w:tr>
        <w:tc>
          <w:tcPr>
            <w:tcW w:type="dxa" w:w="2160"/>
          </w:tcPr>
          <w:p>
            <w:r/>
            <w:r>
              <w:rPr>
                <w:rFonts w:ascii="Times New Roman" w:hAnsi="Times New Roman"/>
                <w:i w:val="0"/>
                <w:sz w:val="20"/>
              </w:rPr>
              <w:t>ST140</w:t>
            </w:r>
          </w:p>
        </w:tc>
        <w:tc>
          <w:tcPr>
            <w:tcW w:type="dxa" w:w="2160"/>
          </w:tcPr>
          <w:p>
            <w:r/>
            <w:r>
              <w:rPr>
                <w:rFonts w:ascii="Times New Roman" w:hAnsi="Times New Roman"/>
                <w:i w:val="0"/>
                <w:sz w:val="20"/>
              </w:rPr>
              <w:t>Treg expression-age analysis (primary)</w:t>
            </w:r>
          </w:p>
        </w:tc>
        <w:tc>
          <w:tcPr>
            <w:tcW w:type="dxa" w:w="2160"/>
          </w:tcPr>
          <w:p>
            <w:r/>
            <w:r>
              <w:rPr>
                <w:rFonts w:ascii="Times New Roman" w:hAnsi="Times New Roman"/>
                <w:i w:val="0"/>
                <w:sz w:val="20"/>
              </w:rPr>
              <w:t>Primary (equal-donor-weighted log-rate regression) and sensitivity (count-weighted Poisson; Spearman) estimates of the Treg expression-rate slope on donor age, with the five-gene family BH-FDR: IL5 RR 1.72/decade (P = 0.025, q = 0.13); IL4 RR 1.97 (P = 0.18, q = 0.46); GATA3/FOXP3/IL13 null.</w:t>
            </w:r>
          </w:p>
        </w:tc>
        <w:tc>
          <w:tcPr>
            <w:tcW w:type="dxa" w:w="2160"/>
          </w:tcPr>
          <w:p>
            <w:r/>
            <w:r>
              <w:rPr>
                <w:rFonts w:ascii="Times New Roman" w:hAnsi="Times New Roman"/>
                <w:i w:val="0"/>
                <w:sz w:val="20"/>
              </w:rPr>
              <w:t>`ST140_treg_age_analysis.csv`</w:t>
            </w:r>
          </w:p>
        </w:tc>
      </w:tr>
      <w:tr>
        <w:tc>
          <w:tcPr>
            <w:tcW w:type="dxa" w:w="2160"/>
          </w:tcPr>
          <w:p>
            <w:r/>
            <w:r>
              <w:rPr>
                <w:rFonts w:ascii="Times New Roman" w:hAnsi="Times New Roman"/>
                <w:i w:val="0"/>
                <w:sz w:val="20"/>
              </w:rPr>
              <w:t>ST141</w:t>
            </w:r>
          </w:p>
        </w:tc>
        <w:tc>
          <w:tcPr>
            <w:tcW w:type="dxa" w:w="2160"/>
          </w:tcPr>
          <w:p>
            <w:r/>
            <w:r>
              <w:rPr>
                <w:rFonts w:ascii="Times New Roman" w:hAnsi="Times New Roman"/>
                <w:i w:val="0"/>
                <w:sz w:val="20"/>
              </w:rPr>
              <w:t>Immune-atlas cell source (expression rate)</w:t>
            </w:r>
          </w:p>
        </w:tc>
        <w:tc>
          <w:tcPr>
            <w:tcW w:type="dxa" w:w="2160"/>
          </w:tcPr>
          <w:p>
            <w:r/>
            <w:r>
              <w:rPr>
                <w:rFonts w:ascii="Times New Roman" w:hAnsi="Times New Roman"/>
                <w:i w:val="0"/>
                <w:sz w:val="20"/>
              </w:rPr>
              <w:t>Per-cell-type expression rate (counts per 10^4) for IL4, IL5, IL18, TNFSF14 and other target genes across 45 immune cell types (cells with n &gt;= 500).</w:t>
            </w:r>
          </w:p>
        </w:tc>
        <w:tc>
          <w:tcPr>
            <w:tcW w:type="dxa" w:w="2160"/>
          </w:tcPr>
          <w:p>
            <w:r/>
            <w:r>
              <w:rPr>
                <w:rFonts w:ascii="Times New Roman" w:hAnsi="Times New Roman"/>
                <w:i w:val="0"/>
                <w:sz w:val="20"/>
              </w:rPr>
              <w:t>`ST141_cell_source_expression_rate.csv`</w:t>
            </w:r>
          </w:p>
        </w:tc>
      </w:tr>
      <w:tr>
        <w:tc>
          <w:tcPr>
            <w:tcW w:type="dxa" w:w="2160"/>
          </w:tcPr>
          <w:p>
            <w:r/>
            <w:r>
              <w:rPr>
                <w:rFonts w:ascii="Times New Roman" w:hAnsi="Times New Roman"/>
                <w:i w:val="0"/>
                <w:sz w:val="20"/>
              </w:rPr>
              <w:t>ST141b</w:t>
            </w:r>
          </w:p>
        </w:tc>
        <w:tc>
          <w:tcPr>
            <w:tcW w:type="dxa" w:w="2160"/>
          </w:tcPr>
          <w:p>
            <w:r/>
            <w:r>
              <w:rPr>
                <w:rFonts w:ascii="Times New Roman" w:hAnsi="Times New Roman"/>
                <w:i w:val="0"/>
                <w:sz w:val="20"/>
              </w:rPr>
              <w:t>Immune-atlas cell source (fraction expressing)</w:t>
            </w:r>
          </w:p>
        </w:tc>
        <w:tc>
          <w:tcPr>
            <w:tcW w:type="dxa" w:w="2160"/>
          </w:tcPr>
          <w:p>
            <w:r/>
            <w:r>
              <w:rPr>
                <w:rFonts w:ascii="Times New Roman" w:hAnsi="Times New Roman"/>
                <w:i w:val="0"/>
                <w:sz w:val="20"/>
              </w:rPr>
              <w:t>Companion to ST141: fraction of cells with non-zero counts per cell type (ambient-sensitive; reported alongside the rate metric). TSLP rows removed 2026-10-09 (they quantified MEGF6 owing to an extraction-dictionary mis-mapping; correct re-extraction requires the source atlas file, unavailable in the current environment).</w:t>
            </w:r>
          </w:p>
        </w:tc>
        <w:tc>
          <w:tcPr>
            <w:tcW w:type="dxa" w:w="2160"/>
          </w:tcPr>
          <w:p>
            <w:r/>
            <w:r>
              <w:rPr>
                <w:rFonts w:ascii="Times New Roman" w:hAnsi="Times New Roman"/>
                <w:i w:val="0"/>
                <w:sz w:val="20"/>
              </w:rPr>
              <w:t>`ST141_cell_source_expression.csv`</w:t>
            </w:r>
          </w:p>
        </w:tc>
      </w:tr>
      <w:tr>
        <w:tc>
          <w:tcPr>
            <w:tcW w:type="dxa" w:w="2160"/>
          </w:tcPr>
          <w:p>
            <w:r/>
            <w:r>
              <w:rPr>
                <w:rFonts w:ascii="Times New Roman" w:hAnsi="Times New Roman"/>
                <w:i w:val="0"/>
                <w:sz w:val="20"/>
              </w:rPr>
              <w:t>ST142</w:t>
            </w:r>
          </w:p>
        </w:tc>
        <w:tc>
          <w:tcPr>
            <w:tcW w:type="dxa" w:w="2160"/>
          </w:tcPr>
          <w:p>
            <w:r/>
            <w:r>
              <w:rPr>
                <w:rFonts w:ascii="Times New Roman" w:hAnsi="Times New Roman"/>
                <w:i w:val="0"/>
                <w:sz w:val="20"/>
              </w:rPr>
              <w:t>Translational pseudobulk</w:t>
            </w:r>
          </w:p>
        </w:tc>
        <w:tc>
          <w:tcPr>
            <w:tcW w:type="dxa" w:w="2160"/>
          </w:tcPr>
          <w:p>
            <w:r/>
            <w:r>
              <w:rPr>
                <w:rFonts w:ascii="Times New Roman" w:hAnsi="Times New Roman"/>
                <w:i w:val="0"/>
                <w:sz w:val="20"/>
              </w:rPr>
              <w:t>Donor pseudobulk for IL18 and TNFSF14 in their dominant immune compartments (classical monocytes, naive CD8 thymocytes, mononuclear phagocytes, tissue-resident macrophages).</w:t>
            </w:r>
          </w:p>
        </w:tc>
        <w:tc>
          <w:tcPr>
            <w:tcW w:type="dxa" w:w="2160"/>
          </w:tcPr>
          <w:p>
            <w:r/>
            <w:r>
              <w:rPr>
                <w:rFonts w:ascii="Times New Roman" w:hAnsi="Times New Roman"/>
                <w:i w:val="0"/>
                <w:sz w:val="20"/>
              </w:rPr>
              <w:t>`ST142_translational_pseudobulk.csv`</w:t>
            </w:r>
          </w:p>
        </w:tc>
      </w:tr>
      <w:tr>
        <w:tc>
          <w:tcPr>
            <w:tcW w:type="dxa" w:w="2160"/>
          </w:tcPr>
          <w:p>
            <w:r/>
            <w:r>
              <w:rPr>
                <w:rFonts w:ascii="Times New Roman" w:hAnsi="Times New Roman"/>
                <w:i w:val="0"/>
                <w:sz w:val="20"/>
              </w:rPr>
              <w:t>ST143</w:t>
            </w:r>
          </w:p>
        </w:tc>
        <w:tc>
          <w:tcPr>
            <w:tcW w:type="dxa" w:w="2160"/>
          </w:tcPr>
          <w:p>
            <w:r/>
            <w:r>
              <w:rPr>
                <w:rFonts w:ascii="Times New Roman" w:hAnsi="Times New Roman"/>
                <w:i w:val="0"/>
                <w:sz w:val="20"/>
              </w:rPr>
              <w:t>Translational-family age slopes</w:t>
            </w:r>
          </w:p>
        </w:tc>
        <w:tc>
          <w:tcPr>
            <w:tcW w:type="dxa" w:w="2160"/>
          </w:tcPr>
          <w:p>
            <w:r/>
            <w:r>
              <w:rPr>
                <w:rFonts w:ascii="Times New Roman" w:hAnsi="Times New Roman"/>
                <w:i w:val="0"/>
                <w:sz w:val="20"/>
              </w:rPr>
              <w:t>Age-slope estimates for IL18/TNFSF14 in dominant compartments; mostly non-estimable (3-17 informative donors) and reported as such.</w:t>
            </w:r>
          </w:p>
        </w:tc>
        <w:tc>
          <w:tcPr>
            <w:tcW w:type="dxa" w:w="2160"/>
          </w:tcPr>
          <w:p>
            <w:r/>
            <w:r>
              <w:rPr>
                <w:rFonts w:ascii="Times New Roman" w:hAnsi="Times New Roman"/>
                <w:i w:val="0"/>
                <w:sz w:val="20"/>
              </w:rPr>
              <w:t>`ST143_translational_age_glm_results.csv`</w:t>
            </w:r>
          </w:p>
        </w:tc>
      </w:tr>
      <w:tr>
        <w:tc>
          <w:tcPr>
            <w:tcW w:type="dxa" w:w="2160"/>
          </w:tcPr>
          <w:p>
            <w:r/>
            <w:r>
              <w:rPr>
                <w:rFonts w:ascii="Times New Roman" w:hAnsi="Times New Roman"/>
                <w:i w:val="0"/>
                <w:sz w:val="20"/>
              </w:rPr>
              <w:t>ST144</w:t>
            </w:r>
          </w:p>
        </w:tc>
        <w:tc>
          <w:tcPr>
            <w:tcW w:type="dxa" w:w="2160"/>
          </w:tcPr>
          <w:p>
            <w:r/>
            <w:r>
              <w:rPr>
                <w:rFonts w:ascii="Times New Roman" w:hAnsi="Times New Roman"/>
                <w:i w:val="0"/>
                <w:sz w:val="20"/>
              </w:rPr>
              <w:t>Treg age-analysis sensitivity</w:t>
            </w:r>
          </w:p>
        </w:tc>
        <w:tc>
          <w:tcPr>
            <w:tcW w:type="dxa" w:w="2160"/>
          </w:tcPr>
          <w:p>
            <w:r/>
            <w:r>
              <w:rPr>
                <w:rFonts w:ascii="Times New Roman" w:hAnsi="Times New Roman"/>
                <w:i w:val="0"/>
                <w:sz w:val="20"/>
              </w:rPr>
              <w:t>Leave-one-donor-out, large-donor subset and ambient-proxy (Treg versus plasma-cell) falsification tests for the five Treg family genes.</w:t>
            </w:r>
          </w:p>
        </w:tc>
        <w:tc>
          <w:tcPr>
            <w:tcW w:type="dxa" w:w="2160"/>
          </w:tcPr>
          <w:p>
            <w:r/>
            <w:r>
              <w:rPr>
                <w:rFonts w:ascii="Times New Roman" w:hAnsi="Times New Roman"/>
                <w:i w:val="0"/>
                <w:sz w:val="20"/>
              </w:rPr>
              <w:t>`ST144_treg_age_sensitivity.csv`</w:t>
            </w:r>
          </w:p>
        </w:tc>
      </w:tr>
      <w:tr>
        <w:tc>
          <w:tcPr>
            <w:tcW w:type="dxa" w:w="2160"/>
          </w:tcPr>
          <w:p>
            <w:r/>
            <w:r>
              <w:rPr>
                <w:rFonts w:ascii="Times New Roman" w:hAnsi="Times New Roman"/>
                <w:i w:val="0"/>
                <w:sz w:val="20"/>
              </w:rPr>
              <w:t>ST145</w:t>
            </w:r>
          </w:p>
        </w:tc>
        <w:tc>
          <w:tcPr>
            <w:tcW w:type="dxa" w:w="2160"/>
          </w:tcPr>
          <w:p>
            <w:r/>
            <w:r>
              <w:rPr>
                <w:rFonts w:ascii="Times New Roman" w:hAnsi="Times New Roman"/>
                <w:i w:val="0"/>
                <w:sz w:val="20"/>
              </w:rPr>
              <w:t>Lung-atlas localization</w:t>
            </w:r>
          </w:p>
        </w:tc>
        <w:tc>
          <w:tcPr>
            <w:tcW w:type="dxa" w:w="2160"/>
          </w:tcPr>
          <w:p>
            <w:r/>
            <w:r>
              <w:rPr>
                <w:rFonts w:ascii="Times New Roman" w:hAnsi="Times New Roman"/>
                <w:i w:val="0"/>
                <w:sz w:val="20"/>
              </w:rPr>
              <w:t>Lung cell-type localization of IL18, TSLP, IL33 and TNFSF14 (fraction expressing and total counts): IL18 to alveolar macrophages/type 1/type 2 epithelium/basal cells; IL33 to basal cells (62%, positive control). TSLP rows recomputed 2026-10-09 from the correct probe ENSG00000145777 after an extraction-dictionary mis-mapping (the previous rows quantified MEGF6); true TSLP detection is sparse (basal 15.4%, alveolar type 2 3.6%).</w:t>
            </w:r>
          </w:p>
        </w:tc>
        <w:tc>
          <w:tcPr>
            <w:tcW w:type="dxa" w:w="2160"/>
          </w:tcPr>
          <w:p>
            <w:r/>
            <w:r>
              <w:rPr>
                <w:rFonts w:ascii="Times New Roman" w:hAnsi="Times New Roman"/>
                <w:i w:val="0"/>
                <w:sz w:val="20"/>
              </w:rPr>
              <w:t>`ST145_lung_cell_source_expression.csv`</w:t>
            </w:r>
          </w:p>
        </w:tc>
      </w:tr>
      <w:tr>
        <w:tc>
          <w:tcPr>
            <w:tcW w:type="dxa" w:w="2160"/>
          </w:tcPr>
          <w:p>
            <w:r/>
            <w:r>
              <w:rPr>
                <w:rFonts w:ascii="Times New Roman" w:hAnsi="Times New Roman"/>
                <w:i w:val="0"/>
                <w:sz w:val="20"/>
              </w:rPr>
              <w:t>ST146</w:t>
            </w:r>
          </w:p>
        </w:tc>
        <w:tc>
          <w:tcPr>
            <w:tcW w:type="dxa" w:w="2160"/>
          </w:tcPr>
          <w:p>
            <w:r/>
            <w:r>
              <w:rPr>
                <w:rFonts w:ascii="Times New Roman" w:hAnsi="Times New Roman"/>
                <w:i w:val="0"/>
                <w:sz w:val="20"/>
              </w:rPr>
              <w:t>NHANES target-trial emulation</w:t>
            </w:r>
          </w:p>
        </w:tc>
        <w:tc>
          <w:tcPr>
            <w:tcW w:type="dxa" w:w="2160"/>
          </w:tcPr>
          <w:p>
            <w:r/>
            <w:r>
              <w:rPr>
                <w:rFonts w:ascii="Times New Roman" w:hAnsi="Times New Roman"/>
                <w:i w:val="0"/>
                <w:sz w:val="20"/>
              </w:rPr>
              <w:t>Emulated trial of high (&gt;= median) versus low blood-cell index among NHANES 2017-2018 adults (n = 4,403; 689 events; income-adjusted propensity): stabilized IPTW, survey-weighted, PSU-clustered OR 1.86 (1.38-2.49), risk-ratio-scale E-value 2.66 (confidence-limit 1.94; prevalence-corrected); per-SD sensitivity 1.45 (1.17-1.79).</w:t>
            </w:r>
          </w:p>
        </w:tc>
        <w:tc>
          <w:tcPr>
            <w:tcW w:type="dxa" w:w="2160"/>
          </w:tcPr>
          <w:p>
            <w:r/>
            <w:r>
              <w:rPr>
                <w:rFonts w:ascii="Times New Roman" w:hAnsi="Times New Roman"/>
                <w:i w:val="0"/>
                <w:sz w:val="20"/>
              </w:rPr>
              <w:t>`ST146_nhanes_target_trial.csv`</w:t>
            </w:r>
          </w:p>
        </w:tc>
      </w:tr>
      <w:tr>
        <w:tc>
          <w:tcPr>
            <w:tcW w:type="dxa" w:w="2160"/>
          </w:tcPr>
          <w:p>
            <w:r/>
            <w:r>
              <w:rPr>
                <w:rFonts w:ascii="Times New Roman" w:hAnsi="Times New Roman"/>
                <w:i w:val="0"/>
                <w:sz w:val="20"/>
              </w:rPr>
              <w:t>ST147</w:t>
            </w:r>
          </w:p>
        </w:tc>
        <w:tc>
          <w:tcPr>
            <w:tcW w:type="dxa" w:w="2160"/>
          </w:tcPr>
          <w:p>
            <w:r/>
            <w:r>
              <w:rPr>
                <w:rFonts w:ascii="Times New Roman" w:hAnsi="Times New Roman"/>
                <w:i w:val="0"/>
                <w:sz w:val="20"/>
              </w:rPr>
              <w:t>Gene-level target triangulation</w:t>
            </w:r>
          </w:p>
        </w:tc>
        <w:tc>
          <w:tcPr>
            <w:tcW w:type="dxa" w:w="2160"/>
          </w:tcPr>
          <w:p>
            <w:r/>
            <w:r>
              <w:rPr>
                <w:rFonts w:ascii="Times New Roman" w:hAnsi="Times New Roman"/>
                <w:i w:val="0"/>
                <w:sz w:val="20"/>
              </w:rPr>
              <w:t>Lines of evidence per candidate gene (28 genes): genetic MR significance, genetic OR/P, approximate colocalization PP.H4, PRISM candidate and score, FAERS allergy signal, ChEMBL mechanisms; RORC and IL6 carry three lines each.</w:t>
            </w:r>
          </w:p>
        </w:tc>
        <w:tc>
          <w:tcPr>
            <w:tcW w:type="dxa" w:w="2160"/>
          </w:tcPr>
          <w:p>
            <w:r/>
            <w:r>
              <w:rPr>
                <w:rFonts w:ascii="Times New Roman" w:hAnsi="Times New Roman"/>
                <w:i w:val="0"/>
                <w:sz w:val="20"/>
              </w:rPr>
              <w:t>`ST147_gene_level_triangulation.csv`</w:t>
            </w:r>
          </w:p>
        </w:tc>
      </w:tr>
      <w:tr>
        <w:tc>
          <w:tcPr>
            <w:tcW w:type="dxa" w:w="2160"/>
          </w:tcPr>
          <w:p>
            <w:r/>
            <w:r>
              <w:rPr>
                <w:rFonts w:ascii="Times New Roman" w:hAnsi="Times New Roman"/>
                <w:i w:val="0"/>
                <w:sz w:val="20"/>
              </w:rPr>
              <w:t>ST148</w:t>
            </w:r>
          </w:p>
        </w:tc>
        <w:tc>
          <w:tcPr>
            <w:tcW w:type="dxa" w:w="2160"/>
          </w:tcPr>
          <w:p>
            <w:r/>
            <w:r>
              <w:rPr>
                <w:rFonts w:ascii="Times New Roman" w:hAnsi="Times New Roman"/>
                <w:i w:val="0"/>
                <w:sz w:val="20"/>
              </w:rPr>
              <w:t>Gene-level MR detail</w:t>
            </w:r>
          </w:p>
        </w:tc>
        <w:tc>
          <w:tcPr>
            <w:tcW w:type="dxa" w:w="2160"/>
          </w:tcPr>
          <w:p>
            <w:r/>
            <w:r>
              <w:rPr>
                <w:rFonts w:ascii="Times New Roman" w:hAnsi="Times New Roman"/>
                <w:i w:val="0"/>
                <w:sz w:val="20"/>
              </w:rPr>
              <w:t>Per-gene, per-SNP cis-eQTL (eQTLGen) Wald-ratio MR against the three outcomes with per-SNP statistics and approximate PP.H4 (21 genes).</w:t>
            </w:r>
          </w:p>
        </w:tc>
        <w:tc>
          <w:tcPr>
            <w:tcW w:type="dxa" w:w="2160"/>
          </w:tcPr>
          <w:p>
            <w:r/>
            <w:r>
              <w:rPr>
                <w:rFonts w:ascii="Times New Roman" w:hAnsi="Times New Roman"/>
                <w:i w:val="0"/>
                <w:sz w:val="20"/>
              </w:rPr>
              <w:t>`ST148_gene_level_mr_detail.csv`</w:t>
            </w:r>
          </w:p>
        </w:tc>
      </w:tr>
      <w:tr>
        <w:tc>
          <w:tcPr>
            <w:tcW w:type="dxa" w:w="2160"/>
          </w:tcPr>
          <w:p>
            <w:r/>
            <w:r>
              <w:rPr>
                <w:rFonts w:ascii="Times New Roman" w:hAnsi="Times New Roman"/>
                <w:i w:val="0"/>
                <w:sz w:val="20"/>
              </w:rPr>
              <w:t>ST149</w:t>
            </w:r>
          </w:p>
        </w:tc>
        <w:tc>
          <w:tcPr>
            <w:tcW w:type="dxa" w:w="2160"/>
          </w:tcPr>
          <w:p>
            <w:r/>
            <w:r>
              <w:rPr>
                <w:rFonts w:ascii="Times New Roman" w:hAnsi="Times New Roman"/>
                <w:i w:val="0"/>
                <w:sz w:val="20"/>
              </w:rPr>
              <w:t>LINCS ageing-signature connectivity</w:t>
            </w:r>
          </w:p>
        </w:tc>
        <w:tc>
          <w:tcPr>
            <w:tcW w:type="dxa" w:w="2160"/>
          </w:tcPr>
          <w:p>
            <w:r/>
            <w:r>
              <w:rPr>
                <w:rFonts w:ascii="Times New Roman" w:hAnsi="Times New Roman"/>
                <w:i w:val="0"/>
                <w:sz w:val="20"/>
              </w:rPr>
              <w:t>Mean z across ageing-signature genes per drug (11 drugs): dasatinib, ruxolitinib, tofacitinib, navitoclax, quercetin suppress the signature (all q &lt;= 0.033).</w:t>
            </w:r>
          </w:p>
        </w:tc>
        <w:tc>
          <w:tcPr>
            <w:tcW w:type="dxa" w:w="2160"/>
          </w:tcPr>
          <w:p>
            <w:r/>
            <w:r>
              <w:rPr>
                <w:rFonts w:ascii="Times New Roman" w:hAnsi="Times New Roman"/>
                <w:i w:val="0"/>
                <w:sz w:val="20"/>
              </w:rPr>
              <w:t>`ST149_lincs_aging_signature_connectivity.csv`</w:t>
            </w:r>
          </w:p>
        </w:tc>
      </w:tr>
      <w:tr>
        <w:tc>
          <w:tcPr>
            <w:tcW w:type="dxa" w:w="2160"/>
          </w:tcPr>
          <w:p>
            <w:r/>
            <w:r>
              <w:rPr>
                <w:rFonts w:ascii="Times New Roman" w:hAnsi="Times New Roman"/>
                <w:i w:val="0"/>
                <w:sz w:val="20"/>
              </w:rPr>
              <w:t>ST150</w:t>
            </w:r>
          </w:p>
        </w:tc>
        <w:tc>
          <w:tcPr>
            <w:tcW w:type="dxa" w:w="2160"/>
          </w:tcPr>
          <w:p>
            <w:r/>
            <w:r>
              <w:rPr>
                <w:rFonts w:ascii="Times New Roman" w:hAnsi="Times New Roman"/>
                <w:i w:val="0"/>
                <w:sz w:val="20"/>
              </w:rPr>
              <w:t>PRISM target-drug viability scores</w:t>
            </w:r>
          </w:p>
        </w:tc>
        <w:tc>
          <w:tcPr>
            <w:tcW w:type="dxa" w:w="2160"/>
          </w:tcPr>
          <w:p>
            <w:r/>
            <w:r>
              <w:rPr>
                <w:rFonts w:ascii="Times New Roman" w:hAnsi="Times New Roman"/>
                <w:i w:val="0"/>
                <w:sz w:val="20"/>
              </w:rPr>
              <w:t>PRISM pooled viability scores (mean/median LFC) per target-drug pair across ~890 cell lines; top pairs nominate SRC and IL6-pathway inhibitors.</w:t>
            </w:r>
          </w:p>
        </w:tc>
        <w:tc>
          <w:tcPr>
            <w:tcW w:type="dxa" w:w="2160"/>
          </w:tcPr>
          <w:p>
            <w:r/>
            <w:r>
              <w:rPr>
                <w:rFonts w:ascii="Times New Roman" w:hAnsi="Times New Roman"/>
                <w:i w:val="0"/>
                <w:sz w:val="20"/>
              </w:rPr>
              <w:t>`ST150_prism_target_drug_scores.csv`</w:t>
            </w:r>
          </w:p>
        </w:tc>
      </w:tr>
      <w:tr>
        <w:tc>
          <w:tcPr>
            <w:tcW w:type="dxa" w:w="2160"/>
          </w:tcPr>
          <w:p>
            <w:r/>
            <w:r>
              <w:rPr>
                <w:rFonts w:ascii="Times New Roman" w:hAnsi="Times New Roman"/>
                <w:i w:val="0"/>
                <w:sz w:val="20"/>
              </w:rPr>
              <w:t>ST151</w:t>
            </w:r>
          </w:p>
        </w:tc>
        <w:tc>
          <w:tcPr>
            <w:tcW w:type="dxa" w:w="2160"/>
          </w:tcPr>
          <w:p>
            <w:r/>
            <w:r>
              <w:rPr>
                <w:rFonts w:ascii="Times New Roman" w:hAnsi="Times New Roman"/>
                <w:i w:val="0"/>
                <w:sz w:val="20"/>
              </w:rPr>
              <w:t>LINCS alarmin-signature connectivity</w:t>
            </w:r>
          </w:p>
        </w:tc>
        <w:tc>
          <w:tcPr>
            <w:tcW w:type="dxa" w:w="2160"/>
          </w:tcPr>
          <w:p>
            <w:r/>
            <w:r>
              <w:rPr>
                <w:rFonts w:ascii="Times New Roman" w:hAnsi="Times New Roman"/>
                <w:i w:val="0"/>
                <w:sz w:val="20"/>
              </w:rPr>
              <w:t>Recomputed connectivity against the alarmin/type-2 signature (IL33, IL25, IL4, IL5, IL13; TSLP absent from the landmark set): dasatinib and tofacitinib upregulate, azithromycin suppresses (all q = 0.024); mTOR inhibitors null; no drug suppresses both signatures.</w:t>
            </w:r>
          </w:p>
        </w:tc>
        <w:tc>
          <w:tcPr>
            <w:tcW w:type="dxa" w:w="2160"/>
          </w:tcPr>
          <w:p>
            <w:r/>
            <w:r>
              <w:rPr>
                <w:rFonts w:ascii="Times New Roman" w:hAnsi="Times New Roman"/>
                <w:i w:val="0"/>
                <w:sz w:val="20"/>
              </w:rPr>
              <w:t>`ST151_lincs_alarmin_signature_connectivity.csv`</w:t>
            </w:r>
          </w:p>
        </w:tc>
      </w:tr>
      <w:tr>
        <w:tc>
          <w:tcPr>
            <w:tcW w:type="dxa" w:w="2160"/>
          </w:tcPr>
          <w:p>
            <w:r/>
            <w:r>
              <w:rPr>
                <w:rFonts w:ascii="Times New Roman" w:hAnsi="Times New Roman"/>
                <w:i w:val="0"/>
                <w:sz w:val="20"/>
              </w:rPr>
              <w:t>ST152</w:t>
            </w:r>
          </w:p>
        </w:tc>
        <w:tc>
          <w:tcPr>
            <w:tcW w:type="dxa" w:w="2160"/>
          </w:tcPr>
          <w:p>
            <w:r/>
            <w:r>
              <w:rPr>
                <w:rFonts w:ascii="Times New Roman" w:hAnsi="Times New Roman"/>
                <w:i w:val="0"/>
                <w:sz w:val="20"/>
              </w:rPr>
              <w:t>Drug-subgroup target-trial E-values</w:t>
            </w:r>
          </w:p>
        </w:tc>
        <w:tc>
          <w:tcPr>
            <w:tcW w:type="dxa" w:w="2160"/>
          </w:tcPr>
          <w:p>
            <w:r/>
            <w:r>
              <w:rPr>
                <w:rFonts w:ascii="Times New Roman" w:hAnsi="Times New Roman"/>
                <w:i w:val="0"/>
                <w:sz w:val="20"/>
              </w:rPr>
              <w:t>Drug-subgroup emulations (mTOR inhibitors, methotrexate, JAK or IL-6/IL-1 inhibitors versus comparators): mostly underpowered (exposed n = 0-25), reported descriptively.</w:t>
            </w:r>
          </w:p>
        </w:tc>
        <w:tc>
          <w:tcPr>
            <w:tcW w:type="dxa" w:w="2160"/>
          </w:tcPr>
          <w:p>
            <w:r/>
            <w:r>
              <w:rPr>
                <w:rFonts w:ascii="Times New Roman" w:hAnsi="Times New Roman"/>
                <w:i w:val="0"/>
                <w:sz w:val="20"/>
              </w:rPr>
              <w:t>`ST152_nhanes_drug_subgroup_target_trial.csv`</w:t>
            </w:r>
          </w:p>
        </w:tc>
      </w:tr>
      <w:tr>
        <w:tc>
          <w:tcPr>
            <w:tcW w:type="dxa" w:w="2160"/>
          </w:tcPr>
          <w:p>
            <w:r/>
            <w:r>
              <w:rPr>
                <w:rFonts w:ascii="Times New Roman" w:hAnsi="Times New Roman"/>
                <w:i w:val="0"/>
                <w:sz w:val="20"/>
              </w:rPr>
              <w:t>ST153</w:t>
            </w:r>
          </w:p>
        </w:tc>
        <w:tc>
          <w:tcPr>
            <w:tcW w:type="dxa" w:w="2160"/>
          </w:tcPr>
          <w:p>
            <w:r/>
            <w:r>
              <w:rPr>
                <w:rFonts w:ascii="Times New Roman" w:hAnsi="Times New Roman"/>
                <w:i w:val="0"/>
                <w:sz w:val="20"/>
              </w:rPr>
              <w:t>Set-point drift model: drift parameters</w:t>
            </w:r>
          </w:p>
        </w:tc>
        <w:tc>
          <w:tcPr>
            <w:tcW w:type="dxa" w:w="2160"/>
          </w:tcPr>
          <w:p>
            <w:r/>
            <w:r>
              <w:rPr>
                <w:rFonts w:ascii="Times New Roman" w:hAnsi="Times New Roman"/>
                <w:i w:val="0"/>
                <w:sz w:val="20"/>
              </w:rPr>
              <w:t>Survey-weighted Ornstein-Uhlenbeck set-point drift fit (S0 at age 50, drift beta per decade, sex term, weighted index-age correlation, BMI-adjusted sensitivity) per NHANES cycle (J, D) and pooled: pooled drift 0.074 SD/decade (95% CI 0.060-0.088, P = 1.2e-25), independently positive in both cycles.</w:t>
            </w:r>
          </w:p>
        </w:tc>
        <w:tc>
          <w:tcPr>
            <w:tcW w:type="dxa" w:w="2160"/>
          </w:tcPr>
          <w:p>
            <w:r/>
            <w:r>
              <w:rPr>
                <w:rFonts w:ascii="Times New Roman" w:hAnsi="Times New Roman"/>
                <w:i w:val="0"/>
                <w:sz w:val="20"/>
              </w:rPr>
              <w:t>`ST153_t2spd_drift_model.csv`</w:t>
            </w:r>
          </w:p>
        </w:tc>
      </w:tr>
      <w:tr>
        <w:tc>
          <w:tcPr>
            <w:tcW w:type="dxa" w:w="2160"/>
          </w:tcPr>
          <w:p>
            <w:r/>
            <w:r>
              <w:rPr>
                <w:rFonts w:ascii="Times New Roman" w:hAnsi="Times New Roman"/>
                <w:i w:val="0"/>
                <w:sz w:val="20"/>
              </w:rPr>
              <w:t>ST154</w:t>
            </w:r>
          </w:p>
        </w:tc>
        <w:tc>
          <w:tcPr>
            <w:tcW w:type="dxa" w:w="2160"/>
          </w:tcPr>
          <w:p>
            <w:r/>
            <w:r>
              <w:rPr>
                <w:rFonts w:ascii="Times New Roman" w:hAnsi="Times New Roman"/>
                <w:i w:val="0"/>
                <w:sz w:val="20"/>
              </w:rPr>
              <w:t>Set-point drift model: variance-resilience tests</w:t>
            </w:r>
          </w:p>
        </w:tc>
        <w:tc>
          <w:tcPr>
            <w:tcW w:type="dxa" w:w="2160"/>
          </w:tcPr>
          <w:p>
            <w:r/>
            <w:r>
              <w:rPr>
                <w:rFonts w:ascii="Times New Roman" w:hAnsi="Times New Roman"/>
                <w:i w:val="0"/>
                <w:sz w:val="20"/>
              </w:rPr>
              <w:t>Cluster-robust regression of log squared residuals on age (delta per decade) with weighted Brown-Forsythe tests across decade bins; sex-stratified and equal-weight-index sensitivities: no monotone dispersion increase (pooled delta = 0.000, P = 0.99); U-shaped dispersion (Brown-Forsythe P = 0.007) reported without a resilience claim; delta re-estimated from hinge-model residuals appended as robustness against mean-model misspecification (null: J 0.030, D -0.032, pooled 0.010).</w:t>
            </w:r>
          </w:p>
        </w:tc>
        <w:tc>
          <w:tcPr>
            <w:tcW w:type="dxa" w:w="2160"/>
          </w:tcPr>
          <w:p>
            <w:r/>
            <w:r>
              <w:rPr>
                <w:rFonts w:ascii="Times New Roman" w:hAnsi="Times New Roman"/>
                <w:i w:val="0"/>
                <w:sz w:val="20"/>
              </w:rPr>
              <w:t>`ST154_t2spd_variance_resilience.csv`</w:t>
            </w:r>
          </w:p>
        </w:tc>
      </w:tr>
      <w:tr>
        <w:tc>
          <w:tcPr>
            <w:tcW w:type="dxa" w:w="2160"/>
          </w:tcPr>
          <w:p>
            <w:r/>
            <w:r>
              <w:rPr>
                <w:rFonts w:ascii="Times New Roman" w:hAnsi="Times New Roman"/>
                <w:i w:val="0"/>
                <w:sz w:val="20"/>
              </w:rPr>
              <w:t>ST154b</w:t>
            </w:r>
          </w:p>
        </w:tc>
        <w:tc>
          <w:tcPr>
            <w:tcW w:type="dxa" w:w="2160"/>
          </w:tcPr>
          <w:p>
            <w:r/>
            <w:r>
              <w:rPr>
                <w:rFonts w:ascii="Times New Roman" w:hAnsi="Times New Roman"/>
                <w:i w:val="0"/>
                <w:sz w:val="20"/>
              </w:rPr>
              <w:t>Set-point drift model: residual SD by age bin (companion to ST154)</w:t>
            </w:r>
          </w:p>
        </w:tc>
        <w:tc>
          <w:tcPr>
            <w:tcW w:type="dxa" w:w="2160"/>
          </w:tcPr>
          <w:p>
            <w:r/>
            <w:r>
              <w:rPr>
                <w:rFonts w:ascii="Times New Roman" w:hAnsi="Times New Roman"/>
                <w:i w:val="0"/>
                <w:sz w:val="20"/>
              </w:rPr>
              <w:t>Decade-binned survey-weighted residual standard deviations underlying ST154 (per cycle and pooled).</w:t>
            </w:r>
          </w:p>
        </w:tc>
        <w:tc>
          <w:tcPr>
            <w:tcW w:type="dxa" w:w="2160"/>
          </w:tcPr>
          <w:p>
            <w:r/>
            <w:r>
              <w:rPr>
                <w:rFonts w:ascii="Times New Roman" w:hAnsi="Times New Roman"/>
                <w:i w:val="0"/>
                <w:sz w:val="20"/>
              </w:rPr>
              <w:t>`ST154b_t2spd_residsd_by_agebin.csv`</w:t>
            </w:r>
          </w:p>
        </w:tc>
      </w:tr>
      <w:tr>
        <w:tc>
          <w:tcPr>
            <w:tcW w:type="dxa" w:w="2160"/>
          </w:tcPr>
          <w:p>
            <w:r/>
            <w:r>
              <w:rPr>
                <w:rFonts w:ascii="Times New Roman" w:hAnsi="Times New Roman"/>
                <w:i w:val="0"/>
                <w:sz w:val="20"/>
              </w:rPr>
              <w:t>ST155</w:t>
            </w:r>
          </w:p>
        </w:tc>
        <w:tc>
          <w:tcPr>
            <w:tcW w:type="dxa" w:w="2160"/>
          </w:tcPr>
          <w:p>
            <w:r/>
            <w:r>
              <w:rPr>
                <w:rFonts w:ascii="Times New Roman" w:hAnsi="Times New Roman"/>
                <w:i w:val="0"/>
                <w:sz w:val="20"/>
              </w:rPr>
              <w:t>Set-point drift model: drift shape and gain invariance</w:t>
            </w:r>
          </w:p>
        </w:tc>
        <w:tc>
          <w:tcPr>
            <w:tcW w:type="dxa" w:w="2160"/>
          </w:tcPr>
          <w:p>
            <w:r/>
            <w:r>
              <w:rPr>
                <w:rFonts w:ascii="Times New Roman" w:hAnsi="Times New Roman"/>
                <w:i w:val="0"/>
                <w:sz w:val="20"/>
              </w:rPr>
              <w:t>Weighted-AIC comparison of linear, quadratic and hinge drift models (knots 35-70 years) with 300-replicate cluster-bootstrap knot distribution (median 55, IQR 55-60, boundary fraction 0.04), and index-by-age interaction tests for the J-cycle allergic composite (P = 0.94) and D-cycle IgE outcomes (log-IgE P = 0.14; high-IgE nominally attenuating, P = 0.021).</w:t>
            </w:r>
          </w:p>
        </w:tc>
        <w:tc>
          <w:tcPr>
            <w:tcW w:type="dxa" w:w="2160"/>
          </w:tcPr>
          <w:p>
            <w:r/>
            <w:r>
              <w:rPr>
                <w:rFonts w:ascii="Times New Roman" w:hAnsi="Times New Roman"/>
                <w:i w:val="0"/>
                <w:sz w:val="20"/>
              </w:rPr>
              <w:t>`ST155_t2spd_shape_and_gain.csv`</w:t>
            </w:r>
          </w:p>
        </w:tc>
      </w:tr>
      <w:tr>
        <w:tc>
          <w:tcPr>
            <w:tcW w:type="dxa" w:w="2160"/>
          </w:tcPr>
          <w:p>
            <w:r/>
            <w:r>
              <w:rPr>
                <w:rFonts w:ascii="Times New Roman" w:hAnsi="Times New Roman"/>
                <w:i w:val="0"/>
                <w:sz w:val="20"/>
              </w:rPr>
              <w:t>ST156</w:t>
            </w:r>
          </w:p>
        </w:tc>
        <w:tc>
          <w:tcPr>
            <w:tcW w:type="dxa" w:w="2160"/>
          </w:tcPr>
          <w:p>
            <w:r/>
            <w:r>
              <w:rPr>
                <w:rFonts w:ascii="Times New Roman" w:hAnsi="Times New Roman"/>
                <w:i w:val="0"/>
                <w:sz w:val="20"/>
              </w:rPr>
              <w:t>Set-point drift model: drift specificity and hinge slopes</w:t>
            </w:r>
          </w:p>
        </w:tc>
        <w:tc>
          <w:tcPr>
            <w:tcW w:type="dxa" w:w="2160"/>
          </w:tcPr>
          <w:p>
            <w:r/>
            <w:r>
              <w:rPr>
                <w:rFonts w:ascii="Times New Roman" w:hAnsi="Times New Roman"/>
                <w:i w:val="0"/>
                <w:sz w:val="20"/>
              </w:rPr>
              <w:t>Drift beta per decade for index variants (idx_pub reference; idx_equal construction-robustness; eosinophil-only type-2 lineage; neutrophil-only non-type-2 negative control) per cycle and pooled -- eosinophil and neutrophil components drift comparably (pooled 0.039 vs 0.044), so the drift is haematologically general and type-2 specificity resides in the risk gain; hinge pre-/post-knot slopes at the ST155 bootstrap knots (pooled 0.039 to 0.137; increment P = 7.2e-4); the full component panel (lymphocyte -0.077; monocyte +0.081; total WBC -0.013, flat) documents the canonical age-related myeloid-skew signature as the compositional basis of the drift.</w:t>
            </w:r>
          </w:p>
        </w:tc>
        <w:tc>
          <w:tcPr>
            <w:tcW w:type="dxa" w:w="2160"/>
          </w:tcPr>
          <w:p>
            <w:r/>
            <w:r>
              <w:rPr>
                <w:rFonts w:ascii="Times New Roman" w:hAnsi="Times New Roman"/>
                <w:i w:val="0"/>
                <w:sz w:val="20"/>
              </w:rPr>
              <w:t>`ST156_t2spd_drift_specificity.csv`</w:t>
            </w:r>
          </w:p>
        </w:tc>
      </w:tr>
      <w:tr>
        <w:tc>
          <w:tcPr>
            <w:tcW w:type="dxa" w:w="2160"/>
          </w:tcPr>
          <w:p>
            <w:r/>
            <w:r>
              <w:rPr>
                <w:rFonts w:ascii="Times New Roman" w:hAnsi="Times New Roman"/>
                <w:i w:val="0"/>
                <w:sz w:val="20"/>
              </w:rPr>
              <w:t>ST157</w:t>
            </w:r>
          </w:p>
        </w:tc>
        <w:tc>
          <w:tcPr>
            <w:tcW w:type="dxa" w:w="2160"/>
          </w:tcPr>
          <w:p>
            <w:r/>
            <w:r>
              <w:rPr>
                <w:rFonts w:ascii="Times New Roman" w:hAnsi="Times New Roman"/>
                <w:i w:val="0"/>
                <w:sz w:val="20"/>
              </w:rPr>
              <w:t>Lung ATP-axis co-localization (descriptive)</w:t>
            </w:r>
          </w:p>
        </w:tc>
        <w:tc>
          <w:tcPr>
            <w:tcW w:type="dxa" w:w="2160"/>
          </w:tcPr>
          <w:p>
            <w:r/>
            <w:r>
              <w:rPr>
                <w:rFonts w:ascii="Times New Roman" w:hAnsi="Times New Roman"/>
                <w:i w:val="0"/>
                <w:sz w:val="20"/>
              </w:rPr>
              <w:t>Single-cell lung co-localization of the IL18 maturation chain (IL18 75.3%, CASP1 64.9%, GSDMD 47.0%, P2RX7 46.4%, IL1B 40.8%; NLRP3 7.6%, dropout-limited) across myeloid and barrier compartments, with epithelium holding IL18 but little machinery (3 donors aged 59-61; descriptive localization, not a population estimate).</w:t>
            </w:r>
          </w:p>
        </w:tc>
        <w:tc>
          <w:tcPr>
            <w:tcW w:type="dxa" w:w="2160"/>
          </w:tcPr>
          <w:p>
            <w:r/>
            <w:r>
              <w:rPr>
                <w:rFonts w:ascii="Times New Roman" w:hAnsi="Times New Roman"/>
                <w:i w:val="0"/>
                <w:sz w:val="20"/>
              </w:rPr>
              <w:t>`ATP01_lung_atp_axis_colocalization.csv`</w:t>
            </w:r>
          </w:p>
        </w:tc>
      </w:tr>
      <w:tr>
        <w:tc>
          <w:tcPr>
            <w:tcW w:type="dxa" w:w="2160"/>
          </w:tcPr>
          <w:p>
            <w:r/>
            <w:r>
              <w:rPr>
                <w:rFonts w:ascii="Times New Roman" w:hAnsi="Times New Roman"/>
                <w:i w:val="0"/>
                <w:sz w:val="20"/>
              </w:rPr>
              <w:t>ST158</w:t>
            </w:r>
          </w:p>
        </w:tc>
        <w:tc>
          <w:tcPr>
            <w:tcW w:type="dxa" w:w="2160"/>
          </w:tcPr>
          <w:p>
            <w:r/>
            <w:r>
              <w:rPr>
                <w:rFonts w:ascii="Times New Roman" w:hAnsi="Times New Roman"/>
                <w:i w:val="0"/>
                <w:sz w:val="20"/>
              </w:rPr>
              <w:t>ATP-axis cis-eQTL MR (machinery genes)</w:t>
            </w:r>
          </w:p>
        </w:tc>
        <w:tc>
          <w:tcPr>
            <w:tcW w:type="dxa" w:w="2160"/>
          </w:tcPr>
          <w:p>
            <w:r/>
            <w:r>
              <w:rPr>
                <w:rFonts w:ascii="Times New Roman" w:hAnsi="Times New Roman"/>
                <w:i w:val="0"/>
                <w:sz w:val="20"/>
              </w:rPr>
              <w:t>cis-eQTL MR (eQTLGen whole blood) of P2RX7, NLRP3, CASP1, GSDMD and IL1B against the three FinnGen R12 outcomes (15 tests): no MR-plus-colocalization pair (all PP.H4 &lt;= 0.08); three nominal signals (NLRP3-asthma, GSDMD-rhinitis, IL1B-atopic-dermatitis) recorded as an honest negative boundary.</w:t>
            </w:r>
          </w:p>
        </w:tc>
        <w:tc>
          <w:tcPr>
            <w:tcW w:type="dxa" w:w="2160"/>
          </w:tcPr>
          <w:p>
            <w:r/>
            <w:r>
              <w:rPr>
                <w:rFonts w:ascii="Times New Roman" w:hAnsi="Times New Roman"/>
                <w:i w:val="0"/>
                <w:sz w:val="20"/>
              </w:rPr>
              <w:t>`ATP02_atp_axis_cis_eqtl_mr.csv`</w:t>
            </w:r>
          </w:p>
        </w:tc>
      </w:tr>
      <w:tr>
        <w:tc>
          <w:tcPr>
            <w:tcW w:type="dxa" w:w="2160"/>
          </w:tcPr>
          <w:p>
            <w:r/>
            <w:r>
              <w:rPr>
                <w:rFonts w:ascii="Times New Roman" w:hAnsi="Times New Roman"/>
                <w:i w:val="0"/>
                <w:sz w:val="20"/>
              </w:rPr>
              <w:t>ST159</w:t>
            </w:r>
          </w:p>
        </w:tc>
        <w:tc>
          <w:tcPr>
            <w:tcW w:type="dxa" w:w="2160"/>
          </w:tcPr>
          <w:p>
            <w:r/>
            <w:r>
              <w:rPr>
                <w:rFonts w:ascii="Times New Roman" w:hAnsi="Times New Roman"/>
                <w:i w:val="0"/>
                <w:sz w:val="20"/>
              </w:rPr>
              <w:t>ATP-axis cis-eQTL MR (per-SNP)</w:t>
            </w:r>
          </w:p>
        </w:tc>
        <w:tc>
          <w:tcPr>
            <w:tcW w:type="dxa" w:w="2160"/>
          </w:tcPr>
          <w:p>
            <w:r/>
            <w:r>
              <w:rPr>
                <w:rFonts w:ascii="Times New Roman" w:hAnsi="Times New Roman"/>
                <w:i w:val="0"/>
                <w:sz w:val="20"/>
              </w:rPr>
              <w:t>Per-SNP companion to ST158: harmonization, instruments and per-SNP Wald ratios.</w:t>
            </w:r>
          </w:p>
        </w:tc>
        <w:tc>
          <w:tcPr>
            <w:tcW w:type="dxa" w:w="2160"/>
          </w:tcPr>
          <w:p>
            <w:r/>
            <w:r>
              <w:rPr>
                <w:rFonts w:ascii="Times New Roman" w:hAnsi="Times New Roman"/>
                <w:i w:val="0"/>
                <w:sz w:val="20"/>
              </w:rPr>
              <w:t>`ATP02b_atp_axis_cis_eqtl_mr_persnp.csv`</w:t>
            </w:r>
          </w:p>
        </w:tc>
      </w:tr>
      <w:tr>
        <w:tc>
          <w:tcPr>
            <w:tcW w:type="dxa" w:w="2160"/>
          </w:tcPr>
          <w:p>
            <w:r/>
            <w:r>
              <w:rPr>
                <w:rFonts w:ascii="Times New Roman" w:hAnsi="Times New Roman"/>
                <w:i w:val="0"/>
                <w:sz w:val="20"/>
              </w:rPr>
              <w:t>ST160</w:t>
            </w:r>
          </w:p>
        </w:tc>
        <w:tc>
          <w:tcPr>
            <w:tcW w:type="dxa" w:w="2160"/>
          </w:tcPr>
          <w:p>
            <w:r/>
            <w:r>
              <w:rPr>
                <w:rFonts w:ascii="Times New Roman" w:hAnsi="Times New Roman"/>
                <w:i w:val="0"/>
                <w:sz w:val="20"/>
              </w:rPr>
              <w:t>ATP-axis instrument diagnostics</w:t>
            </w:r>
          </w:p>
        </w:tc>
        <w:tc>
          <w:tcPr>
            <w:tcW w:type="dxa" w:w="2160"/>
          </w:tcPr>
          <w:p>
            <w:r/>
            <w:r>
              <w:rPr>
                <w:rFonts w:ascii="Times New Roman" w:hAnsi="Times New Roman"/>
                <w:i w:val="0"/>
                <w:sz w:val="20"/>
              </w:rPr>
              <w:t>Leave-one-instrument-out and single-SNP weight-dominance diagnostics for the three nominal ATP-axis signals.</w:t>
            </w:r>
          </w:p>
        </w:tc>
        <w:tc>
          <w:tcPr>
            <w:tcW w:type="dxa" w:w="2160"/>
          </w:tcPr>
          <w:p>
            <w:r/>
            <w:r>
              <w:rPr>
                <w:rFonts w:ascii="Times New Roman" w:hAnsi="Times New Roman"/>
                <w:i w:val="0"/>
                <w:sz w:val="20"/>
              </w:rPr>
              <w:t>`ATP02c_instrument_loo_diagnostics.csv`</w:t>
            </w:r>
          </w:p>
        </w:tc>
      </w:tr>
      <w:tr>
        <w:tc>
          <w:tcPr>
            <w:tcW w:type="dxa" w:w="2160"/>
          </w:tcPr>
          <w:p>
            <w:r/>
            <w:r>
              <w:rPr>
                <w:rFonts w:ascii="Times New Roman" w:hAnsi="Times New Roman"/>
                <w:i w:val="0"/>
                <w:sz w:val="20"/>
              </w:rPr>
              <w:t>ST161</w:t>
            </w:r>
          </w:p>
        </w:tc>
        <w:tc>
          <w:tcPr>
            <w:tcW w:type="dxa" w:w="2160"/>
          </w:tcPr>
          <w:p>
            <w:r/>
            <w:r>
              <w:rPr>
                <w:rFonts w:ascii="Times New Roman" w:hAnsi="Times New Roman"/>
                <w:i w:val="0"/>
                <w:sz w:val="20"/>
              </w:rPr>
              <w:t>ATP-axis GTEx-lung sensitivity</w:t>
            </w:r>
          </w:p>
        </w:tc>
        <w:tc>
          <w:tcPr>
            <w:tcW w:type="dxa" w:w="2160"/>
          </w:tcPr>
          <w:p>
            <w:r/>
            <w:r>
              <w:rPr>
                <w:rFonts w:ascii="Times New Roman" w:hAnsi="Times New Roman"/>
                <w:i w:val="0"/>
                <w:sz w:val="20"/>
              </w:rPr>
              <w:t>GTEx v8 EUR lung context for the machinery genes (tissue-context sensitivity).</w:t>
            </w:r>
          </w:p>
        </w:tc>
        <w:tc>
          <w:tcPr>
            <w:tcW w:type="dxa" w:w="2160"/>
          </w:tcPr>
          <w:p>
            <w:r/>
            <w:r>
              <w:rPr>
                <w:rFonts w:ascii="Times New Roman" w:hAnsi="Times New Roman"/>
                <w:i w:val="0"/>
                <w:sz w:val="20"/>
              </w:rPr>
              <w:t>`ATP03_atp_axis_gtex_lung_sensitivity.csv`</w:t>
            </w:r>
          </w:p>
        </w:tc>
      </w:tr>
      <w:tr>
        <w:tc>
          <w:tcPr>
            <w:tcW w:type="dxa" w:w="2160"/>
          </w:tcPr>
          <w:p>
            <w:r/>
            <w:r>
              <w:rPr>
                <w:rFonts w:ascii="Times New Roman" w:hAnsi="Times New Roman"/>
                <w:i w:val="0"/>
                <w:sz w:val="20"/>
              </w:rPr>
              <w:t>ST162</w:t>
            </w:r>
          </w:p>
        </w:tc>
        <w:tc>
          <w:tcPr>
            <w:tcW w:type="dxa" w:w="2160"/>
          </w:tcPr>
          <w:p>
            <w:r/>
            <w:r>
              <w:rPr>
                <w:rFonts w:ascii="Times New Roman" w:hAnsi="Times New Roman"/>
                <w:i w:val="0"/>
                <w:sz w:val="20"/>
              </w:rPr>
              <w:t>Knowledge-layer enrichment (KB01; R35 deposition)</w:t>
            </w:r>
          </w:p>
        </w:tc>
        <w:tc>
          <w:tcPr>
            <w:tcW w:type="dxa" w:w="2160"/>
          </w:tcPr>
          <w:p>
            <w:r/>
            <w:r>
              <w:rPr>
                <w:rFonts w:ascii="Times New Roman" w:hAnsi="Times New Roman"/>
                <w:i w:val="0"/>
                <w:sz w:val="20"/>
              </w:rPr>
              <w:t>Membership of the 17-gene type-2/alarmin panel in the 500 curated Homo sapiens Aging Atlas genes and Fisher enrichment against a ~20,018-gene protein-coding universe: 4/17 overlap (IL1R1, IL6, TNF, TNFSF14; OR 12.1, P = 7.1e-4); NF-kB-related human module (n = 47) carries 2 panel genes (TNFSF14, IL1R1; OR 59.1, P = 7.1e-4); IL18 absent from all 12 modules. Source file `data/real/aging_atlas/gene_sets_all.csv`.</w:t>
            </w:r>
          </w:p>
        </w:tc>
        <w:tc>
          <w:tcPr>
            <w:tcW w:type="dxa" w:w="2160"/>
          </w:tcPr>
          <w:p>
            <w:r/>
            <w:r>
              <w:rPr>
                <w:rFonts w:ascii="Times New Roman" w:hAnsi="Times New Roman"/>
                <w:i w:val="0"/>
                <w:sz w:val="20"/>
              </w:rPr>
              <w:t>`KB01_aging_atlas_panel_enrichment.csv`</w:t>
            </w:r>
          </w:p>
        </w:tc>
      </w:tr>
    </w:tbl>
    <w:p/>
    <w:p>
      <w:pPr>
        <w:pStyle w:val="Heading1"/>
      </w:pPr>
      <w:r>
        <w:rPr>
          <w:rFonts w:ascii="Times New Roman" w:hAnsi="Times New Roman"/>
          <w:color w:val="000000"/>
        </w:rPr>
        <w:t>Supplementary Figure legends</w:t>
      </w:r>
    </w:p>
    <w:p>
      <w:pPr>
        <w:spacing w:after="120" w:line="480" w:lineRule="auto"/>
      </w:pPr>
      <w:r>
        <w:rPr>
          <w:rFonts w:ascii="Times New Roman" w:hAnsi="Times New Roman"/>
          <w:b/>
          <w:i w:val="0"/>
          <w:sz w:val="24"/>
        </w:rPr>
        <w:t>Supplementary Fig. 1 | STROBE participant flow (NHANES).</w:t>
      </w:r>
      <w:r>
        <w:rPr>
          <w:rFonts w:ascii="Times New Roman" w:hAnsi="Times New Roman"/>
          <w:i w:val="0"/>
          <w:sz w:val="24"/>
        </w:rPr>
        <w:t xml:space="preserve"> Analytic-sample flow for the two NHANES cycles: cycle D (2005-2006; examined n = 10,348; analytic sample index + IgE n = 7,854) and cycle J (2017-2018; examined n = 9,254; analytic sample index + self-reported allergic outcomes n = 7,021; 1,092 events), pooling to the 14,878-participant age-interaction set (ST16/ST17) with model-specific complete-case subsets (set-point drift n = 9,360, ST153; no-CRP n = 9,510, ST121; target-trial emulation n = 4,403, ST146). Exclusion counts are the difference between the examined and analytic sets; itemised reasons follow the source tables. HRS (45,234 participants) is a separate cohort and is not part of this flow.</w:t>
      </w:r>
    </w:p>
    <w:p>
      <w:pPr>
        <w:spacing w:after="120" w:line="480" w:lineRule="auto"/>
      </w:pPr>
      <w:r>
        <w:rPr>
          <w:rFonts w:ascii="Times New Roman" w:hAnsi="Times New Roman"/>
          <w:b/>
          <w:i w:val="0"/>
          <w:sz w:val="24"/>
        </w:rPr>
        <w:t>Supplementary Fig. 2 | Phenome-wide MR specificity scan (ST80-ST82).</w:t>
      </w:r>
      <w:r>
        <w:rPr>
          <w:rFonts w:ascii="Times New Roman" w:hAnsi="Times New Roman"/>
          <w:i w:val="0"/>
          <w:sz w:val="24"/>
        </w:rPr>
        <w:t xml:space="preserve"> Forest plots of inverse-variance-weighted odds ratios (95% CI, log scale) for the haematological type-2 index (left) and the frailty instrument (right) across the 17 locally mirrored FinnGen R12 endpoints (34 exposure-endpoint tests). Allergic endpoints are shown in red and non-allergic endpoints in grey. The index is specific to allergic endpoints, whereas the frailty instrument is broadly pleiotropic with implausible magnitudes at HLA-driven autoimmune endpoints. Source data: ST80-ST82.</w:t>
      </w:r>
    </w:p>
    <w:p>
      <w:pPr>
        <w:spacing w:after="120" w:line="480" w:lineRule="auto"/>
      </w:pPr>
      <w:r>
        <w:rPr>
          <w:rFonts w:ascii="Times New Roman" w:hAnsi="Times New Roman"/>
          <w:b/>
          <w:i w:val="0"/>
          <w:sz w:val="24"/>
        </w:rPr>
        <w:t>Supplementary Fig. 3 | Onset-stratified asthma MR (ST94-ST98).</w:t>
      </w:r>
      <w:r>
        <w:rPr>
          <w:rFonts w:ascii="Times New Roman" w:hAnsi="Times New Roman"/>
          <w:i w:val="0"/>
          <w:sz w:val="24"/>
        </w:rPr>
        <w:t xml:space="preserve"> Forest plot of odds ratios (95% CI, log scale) per SD for the frailty instrument (red) and the composite index (blue) against adult-onset and childhood-onset asthma. Source data: ST94-ST98; genetic correlations are given in ST96-ST98.</w:t>
      </w:r>
    </w:p>
    <w:p>
      <w:pPr>
        <w:spacing w:after="120" w:line="480" w:lineRule="auto"/>
      </w:pPr>
      <w:r>
        <w:rPr>
          <w:rFonts w:ascii="Times New Roman" w:hAnsi="Times New Roman"/>
          <w:b/>
          <w:i w:val="0"/>
          <w:sz w:val="24"/>
        </w:rPr>
        <w:t>Supplementary Fig. 4 | Formal set-point drift model (ST153-ST155).</w:t>
      </w:r>
      <w:r>
        <w:rPr>
          <w:rFonts w:ascii="Times New Roman" w:hAnsi="Times New Roman"/>
          <w:i w:val="0"/>
          <w:sz w:val="24"/>
        </w:rPr>
        <w:t xml:space="preserve"> a, Survey-weighted index means by 5-year age bin with the fitted set-point drift S(age), per cycle (NHANES J, 2017-2018; D, 2005-2006). b, Residual standard deviation by age decade (pooled), with the per-decade dispersion slope (delta) and its P value; the U-shape is reported without a resilience claim. c, Hinge-profile delta-AIC versus linear drift over candidate knots (35-70 years); minima at 55-60 years indicate mild late-life acceleration, not a plateau. Source data: ST153-ST155, ST154b.</w:t>
      </w:r>
    </w:p>
    <w:p>
      <w:pPr>
        <w:spacing w:after="120" w:line="480" w:lineRule="auto"/>
      </w:pPr>
      <w:r>
        <w:rPr>
          <w:rFonts w:ascii="Times New Roman" w:hAnsi="Times New Roman"/>
          <w:b/>
          <w:i w:val="0"/>
          <w:sz w:val="24"/>
        </w:rPr>
        <w:t>Supplementary Fig. 5 | Blood-cell-trait decomposition MR (ST89).</w:t>
      </w:r>
      <w:r>
        <w:rPr>
          <w:rFonts w:ascii="Times New Roman" w:hAnsi="Times New Roman"/>
          <w:i w:val="0"/>
          <w:sz w:val="24"/>
        </w:rPr>
        <w:t xml:space="preserve"> Forest plot of odds ratios (95% CI, log scale) per SD for total white-blood-cell count (grey) and eosinophil count (red) instruments against asthma, allergic rhinitis and atopic dermatitis. The allergic signal is carried predominantly by the eosinophil lineage. Source data: ST89.</w:t>
      </w:r>
    </w:p>
    <w:p>
      <w:pPr>
        <w:spacing w:after="120" w:line="480" w:lineRule="auto"/>
      </w:pPr>
      <w:r>
        <w:rPr>
          <w:rFonts w:ascii="Times New Roman" w:hAnsi="Times New Roman"/>
          <w:b/>
          <w:i w:val="0"/>
          <w:sz w:val="24"/>
        </w:rPr>
        <w:t>Supplementary Fig. 6 | NHANES target-trial emulation (ST146).</w:t>
      </w:r>
      <w:r>
        <w:rPr>
          <w:rFonts w:ascii="Times New Roman" w:hAnsi="Times New Roman"/>
          <w:i w:val="0"/>
          <w:sz w:val="24"/>
        </w:rPr>
        <w:t xml:space="preserve"> Odds ratios for the allergic composite under stabilized inverse-probability weighting (high versus low blood-cell index; per-SD sensitivity), survey-weighted with primary-sampling-unit clustering (n = 4,403 adults; 689 events). Source data: ST146.</w:t>
      </w:r>
    </w:p>
    <w:p>
      <w:pPr>
        <w:spacing w:after="120" w:line="480" w:lineRule="auto"/>
      </w:pPr>
      <w:r>
        <w:rPr>
          <w:rFonts w:ascii="Times New Roman" w:hAnsi="Times New Roman"/>
          <w:b/>
          <w:i w:val="0"/>
          <w:sz w:val="24"/>
        </w:rPr>
        <w:t>Supplementary Fig. 7 | HRS longitudinal validation (ST83-ST86).</w:t>
      </w:r>
      <w:r>
        <w:rPr>
          <w:rFonts w:ascii="Times New Roman" w:hAnsi="Times New Roman"/>
          <w:i w:val="0"/>
          <w:sz w:val="24"/>
        </w:rPr>
        <w:t xml:space="preserve"> a, Per-SD hazard ratios (95% CI, log scale) for all-cause mortality and five incident chronic diseases from the RAND HRS deficit-accumulation frailty index (baseline Cox models adjusted for age, sex and education). b, Early-warning signals: median within-person frailty-index variance and lag-1 autocorrelation in participants who later died (red) versus survivors (grey). Source data: ST83, ST86 (see also ST84-ST85).</w:t>
      </w:r>
    </w:p>
    <w:p>
      <w:pPr>
        <w:spacing w:after="120" w:line="480" w:lineRule="auto"/>
      </w:pPr>
      <w:r>
        <w:rPr>
          <w:rFonts w:ascii="Times New Roman" w:hAnsi="Times New Roman"/>
          <w:b/>
          <w:i w:val="0"/>
          <w:sz w:val="24"/>
        </w:rPr>
        <w:t>Supplementary Fig. 8 | OneK1K independent cell-type MR (ST88).</w:t>
      </w:r>
      <w:r>
        <w:rPr>
          <w:rFonts w:ascii="Times New Roman" w:hAnsi="Times New Roman"/>
          <w:i w:val="0"/>
          <w:sz w:val="24"/>
        </w:rPr>
        <w:t xml:space="preserve"> Forest plot of the FDR-significant (q &lt; 0.05) cell-type eQTL Wald-ratio odds ratios (95% CI, log scale) from the independent OneK1K single-cell resource, labelled by gene, OneK1K cell type and outcome. These signals point to an adjacent cell-gene architecture rather than corroborating the DICE IL4-axis pairs. Source data: ST88.</w:t>
      </w:r>
    </w:p>
    <w:p>
      <w:pPr>
        <w:spacing w:after="120" w:line="480" w:lineRule="auto"/>
      </w:pPr>
      <w:r>
        <w:rPr>
          <w:rFonts w:ascii="Times New Roman" w:hAnsi="Times New Roman"/>
          <w:b/>
          <w:i w:val="0"/>
          <w:sz w:val="24"/>
        </w:rPr>
        <w:t>Supplementary Fig. 9 | Disease-signature transfer in allergen-challenged airways (descriptive).</w:t>
      </w:r>
      <w:r>
        <w:rPr>
          <w:rFonts w:ascii="Times New Roman" w:hAnsi="Times New Roman"/>
          <w:i w:val="0"/>
          <w:sz w:val="24"/>
        </w:rPr>
        <w:t xml:space="preserve"> Box plots of ageing (SASP), type-2, alarmin, Treg and target module scores by donor group (allergic control versus allergic asthma) and by condition (baseline, diluent, allergen) in the GSE193816 allergen-challenge dataset. Cell-level co-expression was r = 0.178 for ageing versus type-2 and r = 0.007 for ageing versus alarmin. Cluster-level tests treat cells as independent, so this analysis is descriptive only (Supplementary Note 5(vii)).</w:t>
      </w:r>
    </w:p>
    <w:p>
      <w:pPr>
        <w:spacing w:after="120" w:line="480" w:lineRule="auto"/>
      </w:pPr>
      <w:r>
        <w:rPr>
          <w:rFonts w:ascii="Times New Roman" w:hAnsi="Times New Roman"/>
          <w:b/>
          <w:i w:val="0"/>
          <w:sz w:val="24"/>
        </w:rPr>
        <w:t>Supplementary Fig. 10 | Single-cell ageing atlas (ST90-ST92).</w:t>
      </w:r>
      <w:r>
        <w:rPr>
          <w:rFonts w:ascii="Times New Roman" w:hAnsi="Times New Roman"/>
          <w:i w:val="0"/>
          <w:sz w:val="24"/>
        </w:rPr>
        <w:t xml:space="preserve"> Signed donor-clustered age slopes per year for the FDR-significant cell-type x module scores (up to the 25 largest in magnitude) across Tabula Sapiens 2.0 blood, lung and intestinal datasets; positive slopes are shown in red and negative in blue. Thin donor coverage limits these slopes to descriptive/hypothesis-generating. Source data: ST90-ST92.</w:t>
      </w:r>
    </w:p>
    <w:p>
      <w:pPr>
        <w:spacing w:after="120" w:line="480" w:lineRule="auto"/>
      </w:pPr>
      <w:r>
        <w:rPr>
          <w:rFonts w:ascii="Times New Roman" w:hAnsi="Times New Roman"/>
          <w:b/>
          <w:i w:val="0"/>
          <w:sz w:val="24"/>
        </w:rPr>
        <w:t>Supplementary Fig. 11 | Donor-level regulatory-T-cell expression rates versus donor age (ST139-ST140, ST144).</w:t>
      </w:r>
      <w:r>
        <w:rPr>
          <w:rFonts w:ascii="Times New Roman" w:hAnsi="Times New Roman"/>
          <w:i w:val="0"/>
          <w:sz w:val="24"/>
        </w:rPr>
        <w:t xml:space="preserve"> a, IL5 expression rate (counts per 104$) in regulatory T cells by donor age (12 donors, 2,649 cells); the dashed line is the equal-donor-weighted log-rate fit (rate ratio 1.72 per decade, P = 0.025, nominal; family q = 0.13). b, IL4 expression rate by donor age (rate ratio 1.97 per decade, P = 0.18); the high-leverage 69-year donor is flagged by the leave-one-donor-out analysis and the IL4 trend is partly ambient (plasma-cell proxy rho = 0.59). Source data: ST139, ST140, ST144.</w:t>
      </w:r>
    </w:p>
    <w:p>
      <w:pPr>
        <w:spacing w:after="120" w:line="480" w:lineRule="auto"/>
      </w:pPr>
      <w:r>
        <w:rPr>
          <w:rFonts w:ascii="Times New Roman" w:hAnsi="Times New Roman"/>
          <w:b/>
          <w:i w:val="0"/>
          <w:sz w:val="24"/>
        </w:rPr>
        <w:t>Supplementary Fig. 12 | Immune-atlas cell-source expression rates (ST141, ST141b).</w:t>
      </w:r>
      <w:r>
        <w:rPr>
          <w:rFonts w:ascii="Times New Roman" w:hAnsi="Times New Roman"/>
          <w:i w:val="0"/>
          <w:sz w:val="24"/>
        </w:rPr>
        <w:t xml:space="preserve"> Expression rate (counts per 104$) of IL4, IL5, IL18 and TNFSF14 across the highest-expressing immune cell types (cells with n &gt;= 500). IL5 is highest in myeloid dendritic cells, IL4 in innate lymphoid cells, and TNFSF14 in mononuclear phagocytes; IL18 is barely detected in circulating immune cells. Source data: ST141, ST141b.</w:t>
      </w:r>
    </w:p>
    <w:p>
      <w:pPr>
        <w:spacing w:after="120" w:line="480" w:lineRule="auto"/>
      </w:pPr>
      <w:r>
        <w:rPr>
          <w:rFonts w:ascii="Times New Roman" w:hAnsi="Times New Roman"/>
          <w:b/>
          <w:i w:val="0"/>
          <w:sz w:val="24"/>
        </w:rPr>
        <w:t>Supplementary Fig. 13 | IL18 and TNFSF14 cell of origin (ST93).</w:t>
      </w:r>
      <w:r>
        <w:rPr>
          <w:rFonts w:ascii="Times New Roman" w:hAnsi="Times New Roman"/>
          <w:i w:val="0"/>
          <w:sz w:val="24"/>
        </w:rPr>
        <w:t xml:space="preserve"> Detection fractions for IL18 (red) and TNFSF14 (green) across the highest-detection annotated cell types and tissues, supporting a myeloid origin for IL18 and a lymphoid/innate origin for TNFSF14. Source data: ST93.</w:t>
      </w:r>
    </w:p>
    <w:p>
      <w:pPr>
        <w:spacing w:after="120" w:line="480" w:lineRule="auto"/>
      </w:pPr>
      <w:r>
        <w:rPr>
          <w:rFonts w:ascii="Times New Roman" w:hAnsi="Times New Roman"/>
          <w:b/>
          <w:i w:val="0"/>
          <w:sz w:val="24"/>
        </w:rPr>
        <w:t>Supplementary Fig. 14 | Lung-atlas localization of IL18, TSLP and IL33 (ST145).</w:t>
      </w:r>
      <w:r>
        <w:rPr>
          <w:rFonts w:ascii="Times New Roman" w:hAnsi="Times New Roman"/>
          <w:i w:val="0"/>
          <w:sz w:val="24"/>
        </w:rPr>
        <w:t xml:space="preserve"> Fraction of cells expressing each gene across the highest-expressing lung cell types: IL18 localizes to alveolar macrophages, alveolar type 1 and type 2 epithelium and basal cells; IL33 confirms the expected basal-epithelial source (62%) and is the positive control after correction of a mis-mapped TSLP probe (erratum, Supplementary Note 11(ix)); true TSLP detection is sparse (basal 15.4%, alveolar type 2 3.6%) and is no longer read as an alveolar type 2 positive control. Source data: ST145.</w:t>
      </w:r>
    </w:p>
    <w:p>
      <w:pPr>
        <w:spacing w:after="120" w:line="480" w:lineRule="auto"/>
      </w:pPr>
      <w:r>
        <w:rPr>
          <w:rFonts w:ascii="Times New Roman" w:hAnsi="Times New Roman"/>
          <w:b/>
          <w:i w:val="0"/>
          <w:sz w:val="24"/>
        </w:rPr>
        <w:t>Supplementary Fig. 15 | Molecular mediation MR (ST99).</w:t>
      </w:r>
      <w:r>
        <w:rPr>
          <w:rFonts w:ascii="Times New Roman" w:hAnsi="Times New Roman"/>
          <w:i w:val="0"/>
          <w:sz w:val="24"/>
        </w:rPr>
        <w:t xml:space="preserve"> Volcano plot of the IL18 and TNFSF14 cis-pQTL instruments against 44 inflammatory plasma proteins (90 Wald/IVW tests): x axis, IVW beta (log-OR per SD); y axis, -log10 P. Points are coloured by protein group (readout, alarmin, type-2, inflammation, negative control). The dashed line marks P = 0.05; no test survives FDR &lt; 0.05. Source data: ST99.</w:t>
      </w:r>
    </w:p>
    <w:p>
      <w:pPr>
        <w:spacing w:after="120" w:line="480" w:lineRule="auto"/>
      </w:pPr>
      <w:r>
        <w:rPr>
          <w:rFonts w:ascii="Times New Roman" w:hAnsi="Times New Roman"/>
          <w:b/>
          <w:i w:val="0"/>
          <w:sz w:val="24"/>
        </w:rPr>
        <w:t>Supplementary Fig. 16 | GTEx tissue-context eQTL (ST100).</w:t>
      </w:r>
      <w:r>
        <w:rPr>
          <w:rFonts w:ascii="Times New Roman" w:hAnsi="Times New Roman"/>
          <w:i w:val="0"/>
          <w:sz w:val="24"/>
        </w:rPr>
        <w:t xml:space="preserve"> Total number of significant cis-eQTL variant-gene pairs per GTEx v8 EUR tissue for the eleven type-2/alarmin genes analysed. Whole blood shows few significant pairs relative to barrier/immune tissues. Source data: ST100.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