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sz w:val="32"/>
        </w:rPr>
        <w:t>Cover letter: eBioMedicine</w:t>
      </w:r>
    </w:p>
    <w:p>
      <w:pPr>
        <w:spacing w:after="120" w:line="480" w:lineRule="auto"/>
      </w:pPr>
      <w:r>
        <w:rPr>
          <w:rFonts w:ascii="Times New Roman" w:hAnsi="Times New Roman"/>
          <w:b/>
          <w:i w:val="0"/>
          <w:sz w:val="24"/>
        </w:rPr>
        <w:t>Manuscript type:</w:t>
      </w:r>
      <w:r>
        <w:rPr>
          <w:rFonts w:ascii="Times New Roman" w:hAnsi="Times New Roman"/>
          <w:i w:val="0"/>
          <w:sz w:val="24"/>
        </w:rPr>
        <w:t xml:space="preserve"> Article</w:t>
      </w:r>
    </w:p>
    <w:p>
      <w:pPr>
        <w:spacing w:after="120" w:line="480" w:lineRule="auto"/>
      </w:pPr>
      <w:r>
        <w:rPr>
          <w:rFonts w:ascii="Times New Roman" w:hAnsi="Times New Roman"/>
          <w:b/>
          <w:i w:val="0"/>
          <w:sz w:val="24"/>
        </w:rPr>
        <w:t>Title:</w:t>
      </w:r>
      <w:r>
        <w:rPr>
          <w:rFonts w:ascii="Times New Roman" w:hAnsi="Times New Roman"/>
          <w:i w:val="0"/>
          <w:sz w:val="24"/>
        </w:rPr>
        <w:t xml:space="preserve"> A drifting blood-cell type-2 set-point links functional ageing to allergic disease</w:t>
      </w:r>
    </w:p>
    <w:p>
      <w:pPr>
        <w:spacing w:after="120" w:line="480" w:lineRule="auto"/>
      </w:pPr>
      <w:r>
        <w:rPr>
          <w:rFonts w:ascii="Times New Roman" w:hAnsi="Times New Roman"/>
          <w:i w:val="0"/>
          <w:sz w:val="24"/>
        </w:rPr>
        <w:t>Dear Editors,</w:t>
      </w:r>
    </w:p>
    <w:p>
      <w:pPr>
        <w:spacing w:after="120" w:line="480" w:lineRule="auto"/>
      </w:pPr>
      <w:r>
        <w:rPr>
          <w:rFonts w:ascii="Times New Roman" w:hAnsi="Times New Roman"/>
          <w:i w:val="0"/>
          <w:sz w:val="24"/>
        </w:rPr>
        <w:t>We submit for consideration in *eBioMedicine* a dimension-resolved genetic study of biological ageing and allergic disease, with a translational focus. Allergic disease is common and rising in older adults, yet genetic studies of allergy treat "biological ageing" as a single quantity even though ageing is heterogeneous. We asked which ageing dimension, if any, carries allergic susceptibility, and whether the implicated axis is druggable. We compared five ageing instruments (four epigenetic clocks and a frailty index) and a blood-cell composite against asthma, allergic rhinitis and atopic dermatitis under a pre-specified adjudication scheme, and triangulated the result across genetic correlation reproduced by three independent LDSC implementations (MHC-free), population surveys (14,878 NHANES participants) and longitudinal cohorts (45,234 HRS participants), target-trial emulation with E-values, cell-type colocalization, single-cell atlases, cross-platform drug-target genetics and pharmacovigilance.</w:t>
      </w:r>
    </w:p>
    <w:p>
      <w:pPr>
        <w:spacing w:after="120" w:line="480" w:lineRule="auto"/>
      </w:pPr>
      <w:r>
        <w:rPr>
          <w:rFonts w:ascii="Times New Roman" w:hAnsi="Times New Roman"/>
          <w:i w:val="0"/>
          <w:sz w:val="24"/>
        </w:rPr>
        <w:t>We believe the work will interest *eBioMedicine* readers for three reasons.</w:t>
      </w:r>
    </w:p>
    <w:p>
      <w:pPr>
        <w:spacing w:after="120" w:line="480" w:lineRule="auto"/>
      </w:pPr>
      <w:r>
        <w:rPr>
          <w:rFonts w:ascii="Times New Roman" w:hAnsi="Times New Roman"/>
          <w:i w:val="0"/>
          <w:sz w:val="24"/>
        </w:rPr>
        <w:t>First, it delivers a clear, dimension-specific genetic answer. A functional frailty dimension, not the epigenetic clocks, carries the genetic overlap with asthma (rg = 0.458) and rhinitis (rg = 0.353); the contrast survives the canonical LDSC implementation, an MHC-included sensitivity reference and a 13-SNP non-HLA instrument, and is shared overwhelmingly with adult-onset rather than childhood-onset asthma. The epigenetic-clock negative is reported with its power limitation rather than exaggerated.</w:t>
      </w:r>
    </w:p>
    <w:p>
      <w:pPr>
        <w:spacing w:after="120" w:line="480" w:lineRule="auto"/>
      </w:pPr>
      <w:r>
        <w:rPr>
          <w:rFonts w:ascii="Times New Roman" w:hAnsi="Times New Roman"/>
          <w:i w:val="0"/>
          <w:sz w:val="24"/>
        </w:rPr>
        <w:t>Second, it reframes later-life allergy in a clinically actionable way. The associated blood-cell axis behaves as an age-invariant type-2 set-point whose level drifts with age (0.074 SD per decade, reproduced across two survey cycles) while the allergic-risk gain does not change with age (target-trial emulation OR 1.86, 95% CI 1.38–2.49; E-value 2.66). Because the risk gain is age-invariant, the preventive and therapeutic window is not confined to early life, and the level-versus-gain separation explains why the axis is neither a generic ageing clock nor a pure eosinophil artefact.</w:t>
      </w:r>
    </w:p>
    <w:p>
      <w:pPr>
        <w:spacing w:after="120" w:line="480" w:lineRule="auto"/>
      </w:pPr>
      <w:r>
        <w:rPr>
          <w:rFonts w:ascii="Times New Roman" w:hAnsi="Times New Roman"/>
          <w:i w:val="0"/>
          <w:sz w:val="24"/>
        </w:rPr>
        <w:t>Third, it nominates a druggable node. Plasma-proteome MR nominated IL18, replicated across three assay platforms using the same cis instruments (pooled OR 1.19, 95% CI 1.15–1.23, P = 3.6 × 10⁻²³, I² = 0%; the genetic evidence is anchored to atopic dermatitis; the discovery meta-analysis is the SCALLOP Consortium study, so only the HELIC (Olink) and Ahola-Olli (Luminex) layers are independent, as disclosed in the manuscript), localized to barrier epithelium and macrophages, and directionally reassuring on on-target safety; IL18 is targetable by the available IL-18-binding protein tadekinig alfa. IL4 is resolved from a whole-blood linkage artefact into a regulatory-T-cell-specific signal.</w:t>
      </w:r>
    </w:p>
    <w:p>
      <w:pPr>
        <w:spacing w:after="120" w:line="480" w:lineRule="auto"/>
      </w:pPr>
      <w:r>
        <w:rPr>
          <w:rFonts w:ascii="Times New Roman" w:hAnsi="Times New Roman"/>
          <w:i w:val="0"/>
          <w:sz w:val="24"/>
        </w:rPr>
        <w:t>We have calibrated every claim to its evidence: no causal or therapeutic overclaim is made; target nominations are labelled hypothesis-generating; the absence of an incident-allergy cohort and of functional experiments is stated prominently, and a wet-lab validation plan is outlined as the decisive next step. All data are publicly available, analysis code is archived at GitHub (https://github.com/wang76qiang/frailty-haematological-ageing-allergy-mr) and Zenodo (https://doi.org/10.5281/zenodo.22152039), analysis plans are registered on the Open Science Framework (https://osf.io/f4v79; registrations qm2hy and f9d3w), and reporting follows STROBE-MR.</w:t>
      </w:r>
    </w:p>
    <w:p>
      <w:pPr>
        <w:spacing w:after="120" w:line="480" w:lineRule="auto"/>
      </w:pPr>
      <w:r>
        <w:rPr>
          <w:rFonts w:ascii="Times New Roman" w:hAnsi="Times New Roman"/>
          <w:i w:val="0"/>
          <w:sz w:val="24"/>
        </w:rPr>
        <w:t>No version of this work is under consideration at any other journal, and the authors will not submit a materially overlapping version elsewhere while it is under review here. All authors have approved the submission and declare no competing interests.</w:t>
      </w:r>
    </w:p>
    <w:p>
      <w:pPr>
        <w:spacing w:after="120" w:line="480" w:lineRule="auto"/>
      </w:pPr>
      <w:r>
        <w:rPr>
          <w:rFonts w:ascii="Times New Roman" w:hAnsi="Times New Roman"/>
          <w:i w:val="0"/>
          <w:sz w:val="24"/>
        </w:rPr>
        <w:t>Yours sincerely, Hongjuan Fang, MD, and Qiang Wang (on behalf of all authors)</w:t>
      </w:r>
    </w:p>
    <w:p>
      <w:pPr>
        <w:spacing w:after="120" w:line="480" w:lineRule="auto"/>
      </w:pPr>
      <w:r>
        <w:rPr>
          <w:rFonts w:ascii="Times New Roman" w:hAnsi="Times New Roman"/>
          <w:b/>
          <w:i w:val="0"/>
          <w:sz w:val="24"/>
        </w:rPr>
        <w:t>Suggested reviewers:</w:t>
      </w:r>
      <w:r>
        <w:rPr>
          <w:rFonts w:ascii="Times New Roman" w:hAnsi="Times New Roman"/>
          <w:i w:val="0"/>
          <w:sz w:val="24"/>
        </w:rPr>
        <w:t xml:space="preserve"> Stephen Burgess (MRC Biostatistics Unit, University of Cambridge; Mendelian randomization methodology), Lavinia Paternoster (University of Bristol; atopic dermatitis genetics), Sara Hägg (Karolinska Institutet; epigenetic clocks and biological ageing), Daniel Belsky (Columbia University; longitudinal ageing cohorts). None has co-authored with the authors in the past five years.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