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A drifting blood-cell type-2 set-point links functional ageing to allergic disease</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frailty; epigenetic clocks; allergic disease; Mendelian randomization; set-point drift.</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Supplementary Tables 1-162 with companions),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throughout[14]: negative controls, directionality audits, eosinophil-free reconstructions,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whose selection (winner's-curse) bias is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and the cross-platform replication shares the same three cis instruments throughout; the sample-overlap and independence caveats are detailed in Results 3.10 and the Supplementary Information.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1-13, 57-65, 76-79, 103, 117, 125-126, 131, 134-138.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 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74-75, 80-82, 94-98, 107-111, 118, 130, 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14-21, 70-73, 112, 120-121, 124, 153-155, 17b, 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89, 124, 133, 136, 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146, 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83-86, 104-105.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22-40, 66-69, 87-88, 102, 114-115, 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90-93, 116, 116b, 139-145.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41-56, 99, 101, 106, 113, 127-129.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triangulation[14] assembled RORC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100, 147-148, 157-161.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122-123, 149-151, 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assay-robust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and code sharing statement</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Contributors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Declaration of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Use of AI-assisted technologies</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et al.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et al.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et al.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et al.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et al.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et al.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et al.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et al.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et al.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et al.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et al.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et al.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et al.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et al.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et al.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et al.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et al.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et al.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et al.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et al.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et al.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et al.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et al.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et al.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