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dimensions; frailty; epigenetic clocks; allergic disease; Mendelian randomization; set-point drift; IL-18; inflammasome; drug repurposing.</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Supplementary Tables 1-162 with companions),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throughout[14]: negative controls, directionality audits, eosinophil-free reconstructions,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whose selection (winner's-curse) bias is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and the cross-platform replication shares the same three cis instruments throughout; the sample-overlap and independence caveats are detailed in Results 3.10 and the Supplementary Information.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1-13, 57-65, 76-79, 103, 117, 125-126, 131, 134-138.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 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74-75, 80-82, 94-98, 107-111, 118, 130, 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14-21, 70-73, 112, 120-121, 124, 153-155, 17b, 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89, 124, 133, 136, 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146, 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83-86, 104-105.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22-40, 66-69, 87-88, 102, 114-115, 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90-93, 116, 116b, 139-145.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41-56, 99, 101, 106, 113, 127-129.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triangulation[14] assembled RORC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100, 147-148, 157-161.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122-123, 149-151, 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assay-robust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availability</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w:t>
      </w:r>
    </w:p>
    <w:p>
      <w:pPr>
        <w:pStyle w:val="ListBullet"/>
        <w:spacing w:after="120"/>
      </w:pPr>
      <w:r>
        <w:rPr>
          <w:rFonts w:ascii="Times New Roman" w:hAnsi="Times New Roman"/>
          <w:b/>
          <w:i w:val="0"/>
          <w:sz w:val="24"/>
        </w:rPr>
        <w:t>Code availability</w:t>
      </w:r>
      <w:r>
        <w:rPr>
          <w:rFonts w:ascii="Times New Roman" w:hAnsi="Times New Roman"/>
          <w:i w:val="0"/>
          <w:sz w:val="24"/>
        </w:rPr>
        <w:t>: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Author contributions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Competing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AI assistance disclosure</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et al.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et al.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et al.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et al.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et al.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et al.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et al.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et al.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et al.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et al.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et al.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et al.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et al.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et al.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et al.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et al.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et al.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et al.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et al.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et al.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et al.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et al.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et al.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et al.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