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Main tables</w:t>
      </w:r>
    </w:p>
    <w:p>
      <w:pPr>
        <w:pStyle w:val="Heading1"/>
      </w:pPr>
      <w:r>
        <w:rPr>
          <w:rFonts w:ascii="Times New Roman" w:hAnsi="Times New Roman"/>
          <w:color w:val="000000"/>
        </w:rPr>
        <w:t>Table 1 | Study populations and data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Resource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Ancestry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 cycle D (2005-06)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7,854 (IgE)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US, admixed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population validation (objective IgE)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 cycle J (2017-18)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7,021 (1,092 events)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US, admixed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population validation (allergic outcomes)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 D+J (pooled)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14,878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US, admixed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set-point model / target-trial emulation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NHANES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HRS (RAND, 1992-2022)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45,234 (723,744 person-waves)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longitudinal validation of frailty construct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RAND HRS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FinnGen R12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Finnish (EUR)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discovery GWAS (3 outcomes)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FinnGen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Han/Y UKB asthma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replication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GCST010042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TAGC asthma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replication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GCST005212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Neale UKB rhinitis/asthma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replication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Neale lab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Budu-Aggrey atopic dermatitis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replication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GCST90244787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Pan-UK Biobank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independent replication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Pan-UKB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Biobank Japan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East Asian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cross-ancestry replication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BBJ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eQTLGen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whole-blood cis-eQTL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eQTLGen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DICE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immune cell-type cis-eQTL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OneK1K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982 donors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single-cell cis-eQTL (independent)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OneK1K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Tabula Sapiens 2.0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592,317 immune; 65,847 lung cells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single-cell atlas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TS 2.0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pQTL platforms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EUR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proteome MR (SCALLOP/Luminex/HELIC/AGES/INTERVAL)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Zhao 2023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FAERS / Canada Vigilance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pharmacovigilance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FAERS; CV</w:t>
            </w:r>
          </w:p>
        </w:tc>
      </w:tr>
    </w:tbl>
    <w:p/>
    <w:p>
      <w:pPr>
        <w:spacing w:after="120" w:line="480" w:lineRule="auto"/>
      </w:pPr>
      <w:r>
        <w:rPr>
          <w:rFonts w:ascii="Times New Roman" w:hAnsi="Times New Roman"/>
          <w:i w:val="0"/>
          <w:sz w:val="24"/>
        </w:rPr>
        <w:t>*Note: the pooled NHANES analytic set (n = 14,878; as used in the pooled age-interaction model, ST16/ST17/ST17b) is not the arithmetic sum of the cycle-specific outcome subsets (D 7,854 for IgE; J 7,021 for allergic outcomes, which sum to 14,875); the model-specific complete-case sets are smaller (set-point drift model n = 9,360; no-CRP sensitivity n = 9,510; target-trial emulation n = 4,403). Sources: ST14, ST16, ST17, ST146, ST153.*</w:t>
      </w:r>
    </w:p>
    <w:p>
      <w:pPr>
        <w:pStyle w:val="Heading1"/>
      </w:pPr>
      <w:r>
        <w:rPr>
          <w:rFonts w:ascii="Times New Roman" w:hAnsi="Times New Roman"/>
          <w:color w:val="000000"/>
        </w:rPr>
        <w:t>Table 2 | Dimension adjudication: MR effect and genetic correlation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Instrument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MR OR (95% CI)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rg (SE)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Frailty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ALLERG_ASTHMA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3.44 (2.91-4.06)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0.458 (0.038)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Frailty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ALLERG_RHINITIS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1.69 (1.46-1.96)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0.353 (0.046)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Frailty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L12_ATOPIC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1.46 (1.31-1.62)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0.250 (0.033)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GrimAge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ALLERG_ASTHMA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1.12 (1.05-1.19)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0.165 (0.070)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GrimAge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ALLERG_RHINITIS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1.00 (0.94-1.06)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-0.004 (0.085)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GrimAge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L12_ATOPIC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0.97 (0.93-1.02)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0.091 (0.073)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Hannum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ALLERG_ASTHMA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1.02 (1.00-1.03)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0.113 (0.065)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Hannum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ALLERG_RHINITIS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0.97 (0.96-0.99)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0.036 (0.084)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Hannum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L12_ATOPIC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1.01 (1.00-1.02)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0.116 (0.071)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IEAA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ALLERG_ASTHMA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0.99 (0.98-0.99)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0.083 (0.060)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IEAA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ALLERG_RHINITIS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1.01 (1.00-1.01)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-0.032 (0.073)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IEAA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L12_ATOPIC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1.00 (0.99-1.00)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0.161 (0.066)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PhenoAge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ALLERG_ASTHMA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0.94 (0.94-0.95)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0.082 (0.078)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PhenoAge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ALLERG_RHINITIS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0.99 (0.98-1.00)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-0.045 (0.093)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PhenoAge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L12_ATOPIC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0.99 (0.99-1.00)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0.274 (0.102)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Table 3 | Set-point drift model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Cycle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Estimate (95% CI)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drift_beta_per_decade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0.089 (0.070-0.108)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S0_at_age50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0.052 (-0.015-0.119)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drift_beta_per_decade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0.056 (0.038-0.074)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S0_at_age50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0.058 (0.004-0.113)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pooled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drift_beta_per_decade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0.074 (0.060-0.088)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pooled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S0_at_age50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0.057 (0.013-0.100)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J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hinge best knot (y)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hinge best knot (y)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55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pooled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hinge best knot (y)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55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pooled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pre_knot_slope_per_decade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0.039 (0.014-0.064)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pooled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post_knot_increment_per_decade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0.098 (0.041-0.155)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pooled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post_knot_slope_per_decade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0.137 (0.098-0.176)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Table 4 | Translational targets (IL18 / TNFSF14)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pQTL coloc PP.H4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Platforms replicated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Pooled OR (95% CI)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Safety-scan direction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Gene-burden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Druggability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IL18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0.968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SCALLOP, Luminex, HELIC (3)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1.19 (1.15-1.23)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concordant (no adverse signal)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null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tadekinig alfa (IL-18BP)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TNFSF14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0.976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AGES, INTERVAL SomaScan (2)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1.13 (1.05-1.22)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inverse septicaemia/fracture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null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caution (single-instrument)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TNF / TRAIL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0.010 / 0.282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rejected (linkage)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IL33 (comparator)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protective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protective across 3 diseases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i w:val="0"/>
                <w:sz w:val="20"/>
              </w:rPr>
              <w:t>alarmin counterpoint</w:t>
            </w:r>
          </w:p>
        </w:tc>
      </w:tr>
    </w:tbl>
    <w:p/>
    <w:p>
      <w:pPr>
        <w:spacing w:after="120" w:line="480" w:lineRule="auto"/>
      </w:pPr>
      <w:r>
        <w:rPr>
          <w:rFonts w:ascii="Times New Roman" w:hAnsi="Times New Roman"/>
          <w:i w:val="0"/>
          <w:sz w:val="24"/>
        </w:rPr>
        <w:t>*Note: the colocalization and cross-platform replication evidence for IL18 and TNFSF14 is anchored to atopic dermatitis (European ancestry), the only outcome arm with a cis-pQTL signal passing FDR &lt; 0.1; replication uses the same three cis instruments across platforms (assay-level, not instrument-level, independence). The discovery meta-analysis is the SCALLOP Consortium study, so the SCALLOP and INTERVAL replication layers share its infrastructure and are non-independent, whereas HELIC, AGES-Reykjavik and the Ahola-Olli Luminex cohort are separate resources (see Supplementary Information).*</w:t>
      </w:r>
    </w:p>
    <w:p>
      <w:pPr>
        <w:spacing w:after="120" w:line="480" w:lineRule="auto"/>
      </w:pPr>
      <w:r>
        <w:rPr>
          <w:rFonts w:ascii="Times New Roman" w:hAnsi="Times New Roman"/>
          <w:i w:val="0"/>
          <w:sz w:val="24"/>
        </w:rPr>
        <w:t>Source files: ST01, ST60, ST153, ST155, ST156, ST45, ST106, ST128, ST74, ST101.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