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</w:rPr>
        <w:t>Supplementary Figures 1-10, provenance</w:t>
      </w:r>
    </w:p>
    <w:p>
      <w:r>
        <w:rPr>
          <w:rFonts w:ascii="Microsoft YaHei" w:hAnsi="Microsoft YaHei" w:eastAsia="Microsoft YaHei"/>
        </w:rPr>
        <w:t>These image files were regenerated from the deposited result tables</w:t>
      </w:r>
    </w:p>
    <w:p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</w:rPr>
        <w:t>04_补充数据_supplementary_data/ST*.csv</w:t>
      </w:r>
      <w:r>
        <w:rPr>
          <w:rFonts w:ascii="Microsoft YaHei" w:hAnsi="Microsoft YaHei" w:eastAsia="Microsoft YaHei"/>
        </w:rPr>
        <w:t>) by</w:t>
      </w:r>
    </w:p>
    <w:p>
      <w:r>
        <w:rPr>
          <w:rFonts w:ascii="Consolas" w:hAnsi="Consolas" w:eastAsia="Consolas"/>
        </w:rPr>
        <w:t>src/r15/10_make_supplementary_figures.py</w:t>
      </w:r>
      <w:r>
        <w:rPr>
          <w:rFonts w:ascii="Microsoft YaHei" w:hAnsi="Microsoft YaHei" w:eastAsia="Microsoft YaHei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</w:rPr>
            </w:r>
            <w:r>
              <w:rPr>
                <w:rFonts w:ascii="Microsoft YaHei" w:hAnsi="Microsoft YaHei" w:eastAsia="Microsoft YaHei"/>
                <w:b/>
              </w:rPr>
              <w:t>Figure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</w:rPr>
            </w:r>
            <w:r>
              <w:rPr>
                <w:rFonts w:ascii="Microsoft YaHei" w:hAnsi="Microsoft YaHei" w:eastAsia="Microsoft YaHei"/>
                <w:b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</w:rPr>
            </w:r>
            <w:r>
              <w:rPr>
                <w:rFonts w:ascii="Microsoft YaHei" w:hAnsi="Microsoft YaHei" w:eastAsia="Microsoft YaHei"/>
                <w:b/>
              </w:rPr>
              <w:t>Source table(s)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</w:rPr>
            </w:r>
            <w:r>
              <w:rPr>
                <w:rFonts w:ascii="Microsoft YaHei" w:hAnsi="Microsoft YaHei" w:eastAsia="Microsoft YaHei"/>
                <w:b/>
              </w:rPr>
              <w:t>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Supplementary Fig. 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Phenome-wide MR specificity scan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ST80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</w:rPr>
              <w:t>Supplementary_Fig_1_phenomewide.png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Supplementary Fig. 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HRS longitudinal validation and early-warning signals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ST83, ST86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</w:rPr>
              <w:t>Supplementary_Fig_2_hrs.png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Supplementary Fig. 3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OneK1K independent cell-type MR (FDR-significant pairs)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ST88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</w:rPr>
              <w:t>Supplementary_Fig_3_onek1k.png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Supplementary Fig. 4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Blood-cell-trait decomposition MR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ST89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</w:rPr>
              <w:t>Supplementary_Fig_4_bloodtrait.png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Supplementary Fig. 5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Single-cell ageing atlas (FDR-significant age slopes)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ST90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</w:rPr>
              <w:t>Supplementary_Fig_5_sc_atlas.png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Supplementary Fig. 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IL18 / TNFSF14 cell of origin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ST93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</w:rPr>
              <w:t>Supplementary_Fig_6_target_cells.png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Supplementary Fig. 7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Disease-signature transfer (GSE193816, descriptive)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GSE193816 airway allergen-challenge h5ad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</w:rPr>
              <w:t>Supplementary_Fig_7_signature_transfer.png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Supplementary Fig. 8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Onset-stratified asthma MR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ST94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</w:rPr>
              <w:t>Supplementary_Fig_8_onset.png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Supplementary Fig. 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Molecular mediation MR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ST99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</w:rPr>
              <w:t>Supplementary_Fig_9_mediation.png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Supplementary Fig. 10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GTEx tissue-context eQTL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ST100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</w:rPr>
              <w:t>Supplementary_Fig_10_gtex.png</w:t>
            </w:r>
          </w:p>
        </w:tc>
      </w:tr>
    </w:tbl>
    <w:p/>
    <w:p>
      <w:r>
        <w:rPr>
          <w:rFonts w:ascii="Microsoft YaHei" w:hAnsi="Microsoft YaHei" w:eastAsia="Microsoft YaHei"/>
        </w:rPr>
        <w:t>Supplementary Fig. 7 was regenerated from the allergen-challenge airway dataset</w:t>
      </w:r>
    </w:p>
    <w:p>
      <w:r>
        <w:rPr>
          <w:rFonts w:ascii="Microsoft YaHei" w:hAnsi="Microsoft YaHei" w:eastAsia="Microsoft YaHei"/>
        </w:rPr>
        <w:t xml:space="preserve">(GSE193816; </w:t>
      </w:r>
      <w:r>
        <w:rPr>
          <w:rFonts w:ascii="Consolas" w:hAnsi="Consolas" w:eastAsia="Consolas"/>
        </w:rPr>
        <w:t>src/r7/03_disease_signature_transfer.py</w:t>
      </w:r>
      <w:r>
        <w:rPr>
          <w:rFonts w:ascii="Microsoft YaHei" w:hAnsi="Microsoft YaHei" w:eastAsia="Microsoft YaHei"/>
        </w:rPr>
        <w:t>); the reproduced cell-level</w:t>
      </w:r>
    </w:p>
    <w:p>
      <w:r>
        <w:rPr>
          <w:rFonts w:ascii="Microsoft YaHei" w:hAnsi="Microsoft YaHei" w:eastAsia="Microsoft YaHei"/>
        </w:rPr>
        <w:t>correlations match the SI (ageing-vs-Th2 r = 0.178; ageing-vs-alarmin r = 0.007).</w:t>
      </w:r>
    </w:p>
    <w:p>
      <w:r>
        <w:rPr>
          <w:rFonts w:ascii="Microsoft YaHei" w:hAnsi="Microsoft YaHei" w:eastAsia="Microsoft YaHei"/>
        </w:rPr>
        <w:t>It remains descriptive (cell-level pseudoreplication), per Supplementary Note 5(vii).</w:t>
      </w:r>
    </w:p>
    <w:p>
      <w:r>
        <w:rPr>
          <w:rFonts w:ascii="Microsoft YaHei" w:hAnsi="Microsoft YaHei" w:eastAsia="Microsoft YaHei"/>
        </w:rPr>
        <w:t>The single-cell atlas figures (5, 6) derive from Tabula Sapiens 2.0 h5ad files</w:t>
      </w:r>
    </w:p>
    <w:p>
      <w:r>
        <w:rPr>
          <w:rFonts w:ascii="Microsoft YaHei" w:hAnsi="Microsoft YaHei" w:eastAsia="Microsoft YaHei"/>
        </w:rPr>
        <w:t>(Blood, Lung, large/small intestine, Immune).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